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BD84" w14:textId="0A16A616" w:rsidR="003375C2"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FORMATION OF AN ORDER. </w:t>
      </w:r>
      <w:r w:rsidRPr="006F735F">
        <w:rPr>
          <w:rFonts w:asciiTheme="majorHAnsi" w:hAnsiTheme="majorHAnsi"/>
          <w:sz w:val="20"/>
          <w:szCs w:val="20"/>
        </w:rPr>
        <w:t>This Purchase Order (Order) is Buyer's (Onboard Systems Int’l) offer</w:t>
      </w:r>
      <w:r w:rsidR="00DE5463" w:rsidRPr="006F735F">
        <w:rPr>
          <w:rFonts w:asciiTheme="majorHAnsi" w:hAnsiTheme="majorHAnsi"/>
          <w:sz w:val="20"/>
          <w:szCs w:val="20"/>
        </w:rPr>
        <w:t xml:space="preserve"> </w:t>
      </w:r>
      <w:r w:rsidRPr="006F735F">
        <w:rPr>
          <w:rFonts w:asciiTheme="majorHAnsi" w:hAnsiTheme="majorHAnsi"/>
          <w:sz w:val="20"/>
          <w:szCs w:val="20"/>
        </w:rPr>
        <w:t>to purchase goods and services (Goods) described in this offer. Seller shall comply with all specifications</w:t>
      </w:r>
      <w:r w:rsidR="00DE5463" w:rsidRPr="006F735F">
        <w:rPr>
          <w:rFonts w:asciiTheme="majorHAnsi" w:hAnsiTheme="majorHAnsi"/>
          <w:sz w:val="20"/>
          <w:szCs w:val="20"/>
        </w:rPr>
        <w:t xml:space="preserve"> </w:t>
      </w:r>
      <w:r w:rsidRPr="006F735F">
        <w:rPr>
          <w:rFonts w:asciiTheme="majorHAnsi" w:hAnsiTheme="majorHAnsi"/>
          <w:sz w:val="20"/>
          <w:szCs w:val="20"/>
        </w:rPr>
        <w:t xml:space="preserve">or requirements stated </w:t>
      </w:r>
      <w:proofErr w:type="gramStart"/>
      <w:r w:rsidRPr="006F735F">
        <w:rPr>
          <w:rFonts w:asciiTheme="majorHAnsi" w:hAnsiTheme="majorHAnsi"/>
          <w:sz w:val="20"/>
          <w:szCs w:val="20"/>
        </w:rPr>
        <w:t>on</w:t>
      </w:r>
      <w:proofErr w:type="gramEnd"/>
      <w:r w:rsidRPr="006F735F">
        <w:rPr>
          <w:rFonts w:asciiTheme="majorHAnsi" w:hAnsiTheme="majorHAnsi"/>
          <w:sz w:val="20"/>
          <w:szCs w:val="20"/>
        </w:rPr>
        <w:t xml:space="preserve"> the Order.</w:t>
      </w:r>
    </w:p>
    <w:p w14:paraId="0A02B0F2" w14:textId="76E15028" w:rsidR="003375C2" w:rsidRPr="004D26A0"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SCHEDULE. </w:t>
      </w:r>
      <w:r w:rsidRPr="006F735F">
        <w:rPr>
          <w:rFonts w:asciiTheme="majorHAnsi" w:hAnsiTheme="majorHAnsi"/>
          <w:sz w:val="20"/>
          <w:szCs w:val="20"/>
        </w:rPr>
        <w:t>Seller shall adhere to the shipment, delivery or completion schedules specified in this</w:t>
      </w:r>
      <w:r w:rsidR="00057F86" w:rsidRPr="006F735F">
        <w:rPr>
          <w:rFonts w:asciiTheme="majorHAnsi" w:hAnsiTheme="majorHAnsi"/>
          <w:sz w:val="20"/>
          <w:szCs w:val="20"/>
        </w:rPr>
        <w:t xml:space="preserve"> </w:t>
      </w:r>
      <w:r w:rsidRPr="006F735F">
        <w:rPr>
          <w:rFonts w:asciiTheme="majorHAnsi" w:hAnsiTheme="majorHAnsi"/>
          <w:sz w:val="20"/>
          <w:szCs w:val="20"/>
        </w:rPr>
        <w:t>Order. In the event of any anticipated or actual delay, Seller shall promptly notify Buyer of the reasons for</w:t>
      </w:r>
      <w:r w:rsidR="00057F86" w:rsidRPr="006F735F">
        <w:rPr>
          <w:rFonts w:asciiTheme="majorHAnsi" w:hAnsiTheme="majorHAnsi"/>
          <w:sz w:val="20"/>
          <w:szCs w:val="20"/>
        </w:rPr>
        <w:t xml:space="preserve"> </w:t>
      </w:r>
      <w:r w:rsidRPr="006F735F">
        <w:rPr>
          <w:rFonts w:asciiTheme="majorHAnsi" w:hAnsiTheme="majorHAnsi"/>
          <w:sz w:val="20"/>
          <w:szCs w:val="20"/>
        </w:rPr>
        <w:t>the delay and the actions being taken to overcome or minimize the delay</w:t>
      </w:r>
      <w:r w:rsidRPr="004D26A0">
        <w:rPr>
          <w:rFonts w:asciiTheme="majorHAnsi" w:hAnsiTheme="majorHAnsi"/>
          <w:sz w:val="20"/>
          <w:szCs w:val="20"/>
        </w:rPr>
        <w:t>.</w:t>
      </w:r>
      <w:r w:rsidR="00EB4F8D" w:rsidRPr="00087F9B">
        <w:rPr>
          <w:rFonts w:asciiTheme="majorHAnsi" w:hAnsiTheme="majorHAnsi"/>
          <w:sz w:val="20"/>
          <w:szCs w:val="20"/>
        </w:rPr>
        <w:t xml:space="preserve"> If Seller fails to deliver the Goods in full on the Delivery Date, Buyer may terminate this Agreement immediately by providing written notice to Seller and Seller shall indemnify Buyer against any losses, claims, damages, and reasonable costs and expenses directly attributable to Seller’s failure to deliver the Goods on the Delivery Date. </w:t>
      </w:r>
      <w:proofErr w:type="gramStart"/>
      <w:r w:rsidR="00EB4F8D" w:rsidRPr="00087F9B">
        <w:rPr>
          <w:rFonts w:asciiTheme="majorHAnsi" w:hAnsiTheme="majorHAnsi"/>
          <w:sz w:val="20"/>
          <w:szCs w:val="20"/>
        </w:rPr>
        <w:t>Buyer has</w:t>
      </w:r>
      <w:proofErr w:type="gramEnd"/>
      <w:r w:rsidR="00EB4F8D" w:rsidRPr="00087F9B">
        <w:rPr>
          <w:rFonts w:asciiTheme="majorHAnsi" w:hAnsiTheme="majorHAnsi"/>
          <w:sz w:val="20"/>
          <w:szCs w:val="20"/>
        </w:rPr>
        <w:t xml:space="preserve"> the right to return any Goods delivered prior to the Delivery Date at Seller’s expense and Seller shall redeliver such Goods on the Delivery Date. Seller shall deliver all Goods to the address specified in the Purchase Order. Seller acknowledges that time is of the essence with respect to Seller’s obligations hereunder and the timely delivery of the Goods including all performance dates, timetables, project milestones and other requirements in the Agreement.  Seller shall perform its obligations under the Agreement with respect to production, delivery, and performance, notwithstanding any dispute arising out of or relating to this Agreement.</w:t>
      </w:r>
    </w:p>
    <w:p w14:paraId="11982A45" w14:textId="41747276" w:rsidR="003375C2"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REVISION LEVEL. </w:t>
      </w:r>
      <w:r w:rsidRPr="006F735F">
        <w:rPr>
          <w:rFonts w:asciiTheme="majorHAnsi" w:hAnsiTheme="majorHAnsi"/>
          <w:sz w:val="20"/>
          <w:szCs w:val="20"/>
        </w:rPr>
        <w:t>Buyer’s Order shall state the revision level of all Goods to be delivered to Buyer’s</w:t>
      </w:r>
      <w:r w:rsidR="00057F86" w:rsidRPr="006F735F">
        <w:rPr>
          <w:rFonts w:asciiTheme="majorHAnsi" w:hAnsiTheme="majorHAnsi"/>
          <w:sz w:val="20"/>
          <w:szCs w:val="20"/>
        </w:rPr>
        <w:t xml:space="preserve"> </w:t>
      </w:r>
      <w:r w:rsidRPr="006F735F">
        <w:rPr>
          <w:rFonts w:asciiTheme="majorHAnsi" w:hAnsiTheme="majorHAnsi"/>
          <w:sz w:val="20"/>
          <w:szCs w:val="20"/>
        </w:rPr>
        <w:t>drawing(s) or part number(s). If Buyer’s Order is for Goods to industry specifications, the Seller shall</w:t>
      </w:r>
      <w:r w:rsidR="00057F86" w:rsidRPr="006F735F">
        <w:rPr>
          <w:rFonts w:asciiTheme="majorHAnsi" w:hAnsiTheme="majorHAnsi"/>
          <w:sz w:val="20"/>
          <w:szCs w:val="20"/>
        </w:rPr>
        <w:t xml:space="preserve"> </w:t>
      </w:r>
      <w:r w:rsidRPr="006F735F">
        <w:rPr>
          <w:rFonts w:asciiTheme="majorHAnsi" w:hAnsiTheme="majorHAnsi"/>
          <w:sz w:val="20"/>
          <w:szCs w:val="20"/>
        </w:rPr>
        <w:t>refer to document 146-067-00 Material and Process Specification Revision Levels, available on-line at</w:t>
      </w:r>
      <w:r w:rsidR="00057F86" w:rsidRPr="006F735F">
        <w:rPr>
          <w:rFonts w:asciiTheme="majorHAnsi" w:hAnsiTheme="majorHAnsi"/>
          <w:sz w:val="20"/>
          <w:szCs w:val="20"/>
        </w:rPr>
        <w:t xml:space="preserve"> </w:t>
      </w:r>
      <w:r w:rsidRPr="006F735F">
        <w:rPr>
          <w:rFonts w:asciiTheme="majorHAnsi" w:hAnsiTheme="majorHAnsi"/>
          <w:sz w:val="20"/>
          <w:szCs w:val="20"/>
        </w:rPr>
        <w:t>www.onboardsystems.com, for acceptable revision levels for materials and processes.</w:t>
      </w:r>
    </w:p>
    <w:p w14:paraId="48C2EDC4" w14:textId="0AB3B897" w:rsidR="003375C2" w:rsidRPr="004D26A0"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PACKING AND SHIPPING. </w:t>
      </w:r>
      <w:r w:rsidRPr="006F735F">
        <w:rPr>
          <w:rFonts w:asciiTheme="majorHAnsi" w:hAnsiTheme="majorHAnsi"/>
          <w:sz w:val="20"/>
          <w:szCs w:val="20"/>
        </w:rPr>
        <w:t>Seller shall carefully pack the Goods to prevent damage and</w:t>
      </w:r>
      <w:r w:rsidR="0064550D">
        <w:rPr>
          <w:rFonts w:asciiTheme="majorHAnsi" w:hAnsiTheme="majorHAnsi"/>
          <w:sz w:val="20"/>
          <w:szCs w:val="20"/>
        </w:rPr>
        <w:t xml:space="preserve"> </w:t>
      </w:r>
      <w:r w:rsidRPr="0064550D">
        <w:rPr>
          <w:rFonts w:asciiTheme="majorHAnsi" w:hAnsiTheme="majorHAnsi"/>
          <w:sz w:val="20"/>
          <w:szCs w:val="20"/>
        </w:rPr>
        <w:t>deterioration. Buyer will charge Seller for damage to or deterioration of any Goods resulting from</w:t>
      </w:r>
      <w:r w:rsidR="00057F86" w:rsidRPr="0064550D">
        <w:rPr>
          <w:rFonts w:asciiTheme="majorHAnsi" w:hAnsiTheme="majorHAnsi"/>
          <w:sz w:val="20"/>
          <w:szCs w:val="20"/>
        </w:rPr>
        <w:t xml:space="preserve"> </w:t>
      </w:r>
      <w:r w:rsidRPr="0064550D">
        <w:rPr>
          <w:rFonts w:asciiTheme="majorHAnsi" w:hAnsiTheme="majorHAnsi"/>
          <w:sz w:val="20"/>
          <w:szCs w:val="20"/>
        </w:rPr>
        <w:t>improper packing. Shipments by Seller must include packing sheets containing Buyer's Order number,</w:t>
      </w:r>
      <w:r w:rsidR="00057F86" w:rsidRPr="0064550D">
        <w:rPr>
          <w:rFonts w:asciiTheme="majorHAnsi" w:hAnsiTheme="majorHAnsi"/>
          <w:sz w:val="20"/>
          <w:szCs w:val="20"/>
        </w:rPr>
        <w:t xml:space="preserve"> </w:t>
      </w:r>
      <w:r w:rsidRPr="0064550D">
        <w:rPr>
          <w:rFonts w:asciiTheme="majorHAnsi" w:hAnsiTheme="majorHAnsi"/>
          <w:sz w:val="20"/>
          <w:szCs w:val="20"/>
        </w:rPr>
        <w:t xml:space="preserve">Buyer’s part number and revision number, </w:t>
      </w:r>
      <w:proofErr w:type="gramStart"/>
      <w:r w:rsidRPr="0064550D">
        <w:rPr>
          <w:rFonts w:asciiTheme="majorHAnsi" w:hAnsiTheme="majorHAnsi"/>
          <w:sz w:val="20"/>
          <w:szCs w:val="20"/>
        </w:rPr>
        <w:t>line item</w:t>
      </w:r>
      <w:proofErr w:type="gramEnd"/>
      <w:r w:rsidRPr="0064550D">
        <w:rPr>
          <w:rFonts w:asciiTheme="majorHAnsi" w:hAnsiTheme="majorHAnsi"/>
          <w:sz w:val="20"/>
          <w:szCs w:val="20"/>
        </w:rPr>
        <w:t xml:space="preserve"> number, description and quantity of Goods</w:t>
      </w:r>
      <w:r w:rsidR="00057F86" w:rsidRPr="0064550D">
        <w:rPr>
          <w:rFonts w:asciiTheme="majorHAnsi" w:hAnsiTheme="majorHAnsi"/>
          <w:sz w:val="20"/>
          <w:szCs w:val="20"/>
        </w:rPr>
        <w:t xml:space="preserve"> </w:t>
      </w:r>
      <w:r w:rsidRPr="0064550D">
        <w:rPr>
          <w:rFonts w:asciiTheme="majorHAnsi" w:hAnsiTheme="majorHAnsi"/>
          <w:sz w:val="20"/>
          <w:szCs w:val="20"/>
        </w:rPr>
        <w:t>shipped, manufacturer’s part numbers and specifications as applicable. Buyer will select the carrier</w:t>
      </w:r>
      <w:r w:rsidR="00057F86" w:rsidRPr="0064550D">
        <w:rPr>
          <w:rFonts w:asciiTheme="majorHAnsi" w:hAnsiTheme="majorHAnsi"/>
          <w:sz w:val="20"/>
          <w:szCs w:val="20"/>
        </w:rPr>
        <w:t xml:space="preserve"> </w:t>
      </w:r>
      <w:r w:rsidRPr="0064550D">
        <w:rPr>
          <w:rFonts w:asciiTheme="majorHAnsi" w:hAnsiTheme="majorHAnsi"/>
          <w:sz w:val="20"/>
          <w:szCs w:val="20"/>
        </w:rPr>
        <w:t>and mode of transportation for shipments where freight costs will be charged to Buyer</w:t>
      </w:r>
      <w:r w:rsidRPr="004D26A0">
        <w:rPr>
          <w:rFonts w:asciiTheme="majorHAnsi" w:hAnsiTheme="majorHAnsi"/>
          <w:sz w:val="20"/>
          <w:szCs w:val="20"/>
        </w:rPr>
        <w:t>.</w:t>
      </w:r>
      <w:r w:rsidR="00EB4F8D" w:rsidRPr="004D26A0">
        <w:rPr>
          <w:rFonts w:asciiTheme="majorHAnsi" w:hAnsiTheme="majorHAnsi"/>
          <w:sz w:val="20"/>
          <w:szCs w:val="20"/>
        </w:rPr>
        <w:t xml:space="preserve"> </w:t>
      </w:r>
      <w:r w:rsidR="00EB4F8D" w:rsidRPr="00087F9B">
        <w:rPr>
          <w:rFonts w:asciiTheme="majorHAnsi" w:hAnsiTheme="majorHAnsi"/>
          <w:sz w:val="20"/>
          <w:szCs w:val="20"/>
        </w:rPr>
        <w:t>Title passes to Buyer upon delivery and acceptance of the Goods at the Delivery Point.</w:t>
      </w:r>
    </w:p>
    <w:p w14:paraId="4A13F943" w14:textId="394420D5" w:rsidR="003375C2"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CERTIFICATIONS AND RECORDS. </w:t>
      </w:r>
      <w:r w:rsidRPr="006F735F">
        <w:rPr>
          <w:rFonts w:asciiTheme="majorHAnsi" w:hAnsiTheme="majorHAnsi"/>
          <w:sz w:val="20"/>
          <w:szCs w:val="20"/>
        </w:rPr>
        <w:t>Seller shall deliver a certificate of conformance with the Goods</w:t>
      </w:r>
      <w:r w:rsidR="00057F86" w:rsidRPr="006F735F">
        <w:rPr>
          <w:rFonts w:asciiTheme="majorHAnsi" w:hAnsiTheme="majorHAnsi"/>
          <w:sz w:val="20"/>
          <w:szCs w:val="20"/>
        </w:rPr>
        <w:t xml:space="preserve"> </w:t>
      </w:r>
      <w:r w:rsidRPr="006F735F">
        <w:rPr>
          <w:rFonts w:asciiTheme="majorHAnsi" w:hAnsiTheme="majorHAnsi"/>
          <w:sz w:val="20"/>
          <w:szCs w:val="20"/>
        </w:rPr>
        <w:t>that includes Buyer's Order number, Buyer’s part number and revision number, description and</w:t>
      </w:r>
      <w:r w:rsidR="00057F86" w:rsidRPr="006F735F">
        <w:rPr>
          <w:rFonts w:asciiTheme="majorHAnsi" w:hAnsiTheme="majorHAnsi"/>
          <w:sz w:val="20"/>
          <w:szCs w:val="20"/>
        </w:rPr>
        <w:t xml:space="preserve"> </w:t>
      </w:r>
      <w:r w:rsidRPr="006F735F">
        <w:rPr>
          <w:rFonts w:asciiTheme="majorHAnsi" w:hAnsiTheme="majorHAnsi"/>
          <w:sz w:val="20"/>
          <w:szCs w:val="20"/>
        </w:rPr>
        <w:t>quantity of Goods shipped, corresponding manufacturer’s part numbers and specifications as</w:t>
      </w:r>
      <w:r w:rsidR="00057F86" w:rsidRPr="006F735F">
        <w:rPr>
          <w:rFonts w:asciiTheme="majorHAnsi" w:hAnsiTheme="majorHAnsi"/>
          <w:sz w:val="20"/>
          <w:szCs w:val="20"/>
        </w:rPr>
        <w:t xml:space="preserve"> </w:t>
      </w:r>
      <w:r w:rsidRPr="006F735F">
        <w:rPr>
          <w:rFonts w:asciiTheme="majorHAnsi" w:hAnsiTheme="majorHAnsi"/>
          <w:sz w:val="20"/>
          <w:szCs w:val="20"/>
        </w:rPr>
        <w:t>applicable. Seller shall also deliver</w:t>
      </w:r>
      <w:r w:rsidR="00B91EC7">
        <w:rPr>
          <w:rFonts w:asciiTheme="majorHAnsi" w:hAnsiTheme="majorHAnsi"/>
          <w:sz w:val="20"/>
          <w:szCs w:val="20"/>
        </w:rPr>
        <w:t xml:space="preserve"> </w:t>
      </w:r>
      <w:r w:rsidR="00A4501C" w:rsidRPr="006F735F">
        <w:rPr>
          <w:rFonts w:asciiTheme="majorHAnsi" w:hAnsiTheme="majorHAnsi"/>
          <w:sz w:val="20"/>
          <w:szCs w:val="20"/>
        </w:rPr>
        <w:t>the manufacturer’s</w:t>
      </w:r>
      <w:r w:rsidRPr="006F735F">
        <w:rPr>
          <w:rFonts w:asciiTheme="majorHAnsi" w:hAnsiTheme="majorHAnsi"/>
          <w:sz w:val="20"/>
          <w:szCs w:val="20"/>
        </w:rPr>
        <w:t xml:space="preserve"> certifications, process certifications and records</w:t>
      </w:r>
      <w:r w:rsidR="00057F86" w:rsidRPr="006F735F">
        <w:rPr>
          <w:rFonts w:asciiTheme="majorHAnsi" w:hAnsiTheme="majorHAnsi"/>
          <w:sz w:val="20"/>
          <w:szCs w:val="20"/>
        </w:rPr>
        <w:t xml:space="preserve"> </w:t>
      </w:r>
      <w:r w:rsidRPr="006F735F">
        <w:rPr>
          <w:rFonts w:asciiTheme="majorHAnsi" w:hAnsiTheme="majorHAnsi"/>
          <w:sz w:val="20"/>
          <w:szCs w:val="20"/>
        </w:rPr>
        <w:t>pertaining to the Goods as applicable. PLEASE NOTE THAT SELLER’S INVOICES CANNOT BE PAID</w:t>
      </w:r>
      <w:r w:rsidR="00057F86" w:rsidRPr="006F735F">
        <w:rPr>
          <w:rFonts w:asciiTheme="majorHAnsi" w:hAnsiTheme="majorHAnsi"/>
          <w:sz w:val="20"/>
          <w:szCs w:val="20"/>
        </w:rPr>
        <w:t xml:space="preserve"> </w:t>
      </w:r>
      <w:r w:rsidRPr="006F735F">
        <w:rPr>
          <w:rFonts w:asciiTheme="majorHAnsi" w:hAnsiTheme="majorHAnsi"/>
          <w:sz w:val="20"/>
          <w:szCs w:val="20"/>
        </w:rPr>
        <w:t>IF REQUESTED CERTIFICATIONS AND RECORDS ARE NOT RECEIVED. Sellers shall retain all</w:t>
      </w:r>
      <w:r w:rsidR="00057F86" w:rsidRPr="006F735F">
        <w:rPr>
          <w:rFonts w:asciiTheme="majorHAnsi" w:hAnsiTheme="majorHAnsi"/>
          <w:sz w:val="20"/>
          <w:szCs w:val="20"/>
        </w:rPr>
        <w:t xml:space="preserve"> </w:t>
      </w:r>
      <w:r w:rsidRPr="006F735F">
        <w:rPr>
          <w:rFonts w:asciiTheme="majorHAnsi" w:hAnsiTheme="majorHAnsi"/>
          <w:sz w:val="20"/>
          <w:szCs w:val="20"/>
        </w:rPr>
        <w:t>records not sent to the Buyer, such as manufacturing records, equipment calibration, etc. for at least 10</w:t>
      </w:r>
      <w:r w:rsidR="00057F86" w:rsidRPr="006F735F">
        <w:rPr>
          <w:rFonts w:asciiTheme="majorHAnsi" w:hAnsiTheme="majorHAnsi"/>
          <w:sz w:val="20"/>
          <w:szCs w:val="20"/>
        </w:rPr>
        <w:t xml:space="preserve"> </w:t>
      </w:r>
      <w:r w:rsidRPr="006F735F">
        <w:rPr>
          <w:rFonts w:asciiTheme="majorHAnsi" w:hAnsiTheme="majorHAnsi"/>
          <w:sz w:val="20"/>
          <w:szCs w:val="20"/>
        </w:rPr>
        <w:t>years, at that time contact Onboard Systems for instructions on how to dispose of the records.</w:t>
      </w:r>
    </w:p>
    <w:p w14:paraId="0A918AED" w14:textId="5A15CFEF" w:rsidR="003375C2"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INVOICES AND PAYMENT. </w:t>
      </w:r>
      <w:r w:rsidRPr="006F735F">
        <w:rPr>
          <w:rFonts w:asciiTheme="majorHAnsi" w:hAnsiTheme="majorHAnsi"/>
          <w:sz w:val="20"/>
          <w:szCs w:val="20"/>
        </w:rPr>
        <w:t>Seller shall issue a separate original invoice for each delivery that</w:t>
      </w:r>
      <w:r w:rsidR="004D1C1C" w:rsidRPr="006F735F">
        <w:rPr>
          <w:rFonts w:asciiTheme="majorHAnsi" w:hAnsiTheme="majorHAnsi"/>
          <w:sz w:val="20"/>
          <w:szCs w:val="20"/>
        </w:rPr>
        <w:t xml:space="preserve"> </w:t>
      </w:r>
      <w:r w:rsidRPr="006F735F">
        <w:rPr>
          <w:rFonts w:asciiTheme="majorHAnsi" w:hAnsiTheme="majorHAnsi"/>
          <w:sz w:val="20"/>
          <w:szCs w:val="20"/>
        </w:rPr>
        <w:t xml:space="preserve">shall include Buyer's Order number, </w:t>
      </w:r>
      <w:proofErr w:type="gramStart"/>
      <w:r w:rsidRPr="006F735F">
        <w:rPr>
          <w:rFonts w:asciiTheme="majorHAnsi" w:hAnsiTheme="majorHAnsi"/>
          <w:sz w:val="20"/>
          <w:szCs w:val="20"/>
        </w:rPr>
        <w:t>line item</w:t>
      </w:r>
      <w:proofErr w:type="gramEnd"/>
      <w:r w:rsidRPr="006F735F">
        <w:rPr>
          <w:rFonts w:asciiTheme="majorHAnsi" w:hAnsiTheme="majorHAnsi"/>
          <w:sz w:val="20"/>
          <w:szCs w:val="20"/>
        </w:rPr>
        <w:t xml:space="preserve"> number, Buyer’s part number, description and quantity.</w:t>
      </w:r>
      <w:r w:rsidR="004D1C1C" w:rsidRPr="006F735F">
        <w:rPr>
          <w:rFonts w:asciiTheme="majorHAnsi" w:hAnsiTheme="majorHAnsi"/>
          <w:sz w:val="20"/>
          <w:szCs w:val="20"/>
        </w:rPr>
        <w:t xml:space="preserve"> </w:t>
      </w:r>
    </w:p>
    <w:p w14:paraId="06B7B9C4" w14:textId="30F1FE96" w:rsidR="003375C2"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ACCEPTANCE AND REJECTION. </w:t>
      </w:r>
      <w:r w:rsidRPr="006F735F">
        <w:rPr>
          <w:rFonts w:asciiTheme="majorHAnsi" w:hAnsiTheme="majorHAnsi"/>
          <w:sz w:val="20"/>
          <w:szCs w:val="20"/>
        </w:rPr>
        <w:t xml:space="preserve">Seller shall notify Buyer of nonconforming product and </w:t>
      </w:r>
      <w:proofErr w:type="gramStart"/>
      <w:r w:rsidRPr="006F735F">
        <w:rPr>
          <w:rFonts w:asciiTheme="majorHAnsi" w:hAnsiTheme="majorHAnsi"/>
          <w:sz w:val="20"/>
          <w:szCs w:val="20"/>
        </w:rPr>
        <w:t>make</w:t>
      </w:r>
      <w:r w:rsidR="004D1C1C" w:rsidRPr="006F735F">
        <w:rPr>
          <w:rFonts w:asciiTheme="majorHAnsi" w:hAnsiTheme="majorHAnsi"/>
          <w:sz w:val="20"/>
          <w:szCs w:val="20"/>
        </w:rPr>
        <w:t xml:space="preserve"> </w:t>
      </w:r>
      <w:r w:rsidRPr="006F735F">
        <w:rPr>
          <w:rFonts w:asciiTheme="majorHAnsi" w:hAnsiTheme="majorHAnsi"/>
          <w:sz w:val="20"/>
          <w:szCs w:val="20"/>
        </w:rPr>
        <w:t>arrangements</w:t>
      </w:r>
      <w:proofErr w:type="gramEnd"/>
      <w:r w:rsidRPr="006F735F">
        <w:rPr>
          <w:rFonts w:asciiTheme="majorHAnsi" w:hAnsiTheme="majorHAnsi"/>
          <w:sz w:val="20"/>
          <w:szCs w:val="20"/>
        </w:rPr>
        <w:t xml:space="preserve"> for approval of nonconforming material. Seller shall notify Buyer of any changes in</w:t>
      </w:r>
      <w:r w:rsidR="004D1C1C" w:rsidRPr="006F735F">
        <w:rPr>
          <w:rFonts w:asciiTheme="majorHAnsi" w:hAnsiTheme="majorHAnsi"/>
          <w:sz w:val="20"/>
          <w:szCs w:val="20"/>
        </w:rPr>
        <w:t xml:space="preserve"> </w:t>
      </w:r>
      <w:r w:rsidRPr="006F735F">
        <w:rPr>
          <w:rFonts w:asciiTheme="majorHAnsi" w:hAnsiTheme="majorHAnsi"/>
          <w:sz w:val="20"/>
          <w:szCs w:val="20"/>
        </w:rPr>
        <w:t>product and/or processes and obtain approval. If Seller delivers non-conforming Goods, Buyer may at</w:t>
      </w:r>
      <w:r w:rsidR="004D1C1C" w:rsidRPr="006F735F">
        <w:rPr>
          <w:rFonts w:asciiTheme="majorHAnsi" w:hAnsiTheme="majorHAnsi"/>
          <w:sz w:val="20"/>
          <w:szCs w:val="20"/>
        </w:rPr>
        <w:t xml:space="preserve"> </w:t>
      </w:r>
      <w:r w:rsidRPr="006F735F">
        <w:rPr>
          <w:rFonts w:asciiTheme="majorHAnsi" w:hAnsiTheme="majorHAnsi"/>
          <w:sz w:val="20"/>
          <w:szCs w:val="20"/>
        </w:rPr>
        <w:t>its option and at Seller's expense (a) return the Goods for credit or refund; (b) require Seller to promptly</w:t>
      </w:r>
      <w:r w:rsidR="004D1C1C" w:rsidRPr="006F735F">
        <w:rPr>
          <w:rFonts w:asciiTheme="majorHAnsi" w:hAnsiTheme="majorHAnsi"/>
          <w:sz w:val="20"/>
          <w:szCs w:val="20"/>
        </w:rPr>
        <w:t xml:space="preserve"> </w:t>
      </w:r>
      <w:r w:rsidRPr="006F735F">
        <w:rPr>
          <w:rFonts w:asciiTheme="majorHAnsi" w:hAnsiTheme="majorHAnsi"/>
          <w:sz w:val="20"/>
          <w:szCs w:val="20"/>
        </w:rPr>
        <w:t>correct or replace the Goods; (c) correct the Goods; (d) obtain replacement Goods from another source.</w:t>
      </w:r>
      <w:r w:rsidR="004D1C1C" w:rsidRPr="006F735F">
        <w:rPr>
          <w:rFonts w:asciiTheme="majorHAnsi" w:hAnsiTheme="majorHAnsi"/>
          <w:sz w:val="20"/>
          <w:szCs w:val="20"/>
        </w:rPr>
        <w:t xml:space="preserve"> </w:t>
      </w:r>
      <w:r w:rsidRPr="006F735F">
        <w:rPr>
          <w:rFonts w:asciiTheme="majorHAnsi" w:hAnsiTheme="majorHAnsi"/>
          <w:sz w:val="20"/>
          <w:szCs w:val="20"/>
        </w:rPr>
        <w:t>Seller shall not redeliver corrected or rejected goods without disclosing the former rejection or</w:t>
      </w:r>
      <w:r w:rsidR="004D1C1C" w:rsidRPr="006F735F">
        <w:rPr>
          <w:rFonts w:asciiTheme="majorHAnsi" w:hAnsiTheme="majorHAnsi"/>
          <w:sz w:val="20"/>
          <w:szCs w:val="20"/>
        </w:rPr>
        <w:t xml:space="preserve"> </w:t>
      </w:r>
      <w:r w:rsidRPr="006F735F">
        <w:rPr>
          <w:rFonts w:asciiTheme="majorHAnsi" w:hAnsiTheme="majorHAnsi"/>
          <w:sz w:val="20"/>
          <w:szCs w:val="20"/>
        </w:rPr>
        <w:t>requirement for correction and any corrective action taken.</w:t>
      </w:r>
    </w:p>
    <w:p w14:paraId="3434BF6B" w14:textId="64C3257F" w:rsidR="003375C2" w:rsidRPr="004D26A0"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B91EC7">
        <w:rPr>
          <w:rFonts w:asciiTheme="majorHAnsi" w:hAnsiTheme="majorHAnsi"/>
          <w:b/>
          <w:bCs/>
          <w:sz w:val="20"/>
          <w:szCs w:val="20"/>
        </w:rPr>
        <w:t xml:space="preserve">WARRANTY. </w:t>
      </w:r>
      <w:r w:rsidRPr="00B91EC7">
        <w:rPr>
          <w:rFonts w:asciiTheme="majorHAnsi" w:hAnsiTheme="majorHAnsi"/>
          <w:sz w:val="20"/>
          <w:szCs w:val="20"/>
        </w:rPr>
        <w:t xml:space="preserve">Seller warrants that all Goods furnished under this </w:t>
      </w:r>
      <w:r w:rsidR="00E8033A" w:rsidRPr="004D26A0">
        <w:rPr>
          <w:rFonts w:asciiTheme="majorHAnsi" w:hAnsiTheme="majorHAnsi"/>
          <w:sz w:val="20"/>
          <w:szCs w:val="20"/>
        </w:rPr>
        <w:t xml:space="preserve"> </w:t>
      </w:r>
      <w:r w:rsidR="00E8033A" w:rsidRPr="00087F9B">
        <w:rPr>
          <w:rFonts w:asciiTheme="majorHAnsi" w:hAnsiTheme="majorHAnsi"/>
          <w:sz w:val="20"/>
          <w:szCs w:val="20"/>
        </w:rPr>
        <w:t>(</w:t>
      </w:r>
      <w:proofErr w:type="spellStart"/>
      <w:r w:rsidR="00E8033A" w:rsidRPr="00087F9B">
        <w:rPr>
          <w:rFonts w:asciiTheme="majorHAnsi" w:hAnsiTheme="majorHAnsi"/>
          <w:sz w:val="20"/>
          <w:szCs w:val="20"/>
        </w:rPr>
        <w:t>i</w:t>
      </w:r>
      <w:proofErr w:type="spellEnd"/>
      <w:r w:rsidR="00E8033A" w:rsidRPr="00087F9B">
        <w:rPr>
          <w:rFonts w:asciiTheme="majorHAnsi" w:hAnsiTheme="majorHAnsi"/>
          <w:sz w:val="20"/>
          <w:szCs w:val="20"/>
        </w:rPr>
        <w:t>) be free from any defects in workmanship, material and design; (ii) conform to applicable specifications, drawings, designs, samples and other requirements specified by Buyer;  (iii) be fit for their intended purpose and operate as intended; (iv) be merchantable; (v) be free and clear of all liens, security interests or other encumbrances; and (vi) not infringe or misappropriate any third party’s patent or other intellectual property rights. These warranties survive any delivery, inspection, acceptance or payment of or for the Goods by Buyer. The warranties in (</w:t>
      </w:r>
      <w:proofErr w:type="spellStart"/>
      <w:r w:rsidR="00E8033A" w:rsidRPr="00087F9B">
        <w:rPr>
          <w:rFonts w:asciiTheme="majorHAnsi" w:hAnsiTheme="majorHAnsi"/>
          <w:sz w:val="20"/>
          <w:szCs w:val="20"/>
        </w:rPr>
        <w:t>i</w:t>
      </w:r>
      <w:proofErr w:type="spellEnd"/>
      <w:r w:rsidR="00E8033A" w:rsidRPr="00087F9B">
        <w:rPr>
          <w:rFonts w:asciiTheme="majorHAnsi" w:hAnsiTheme="majorHAnsi"/>
          <w:sz w:val="20"/>
          <w:szCs w:val="20"/>
        </w:rPr>
        <w:t xml:space="preserve">), (iii), and (iv) shall be for a period of two (2) years from the date of delivery to Buyer, or such longer period as provided in the Purchase Order. The warranties set forth in this Section 8 are cumulative and in addition to any other warranty provided by law or equity. Any applicable statute of limitations runs from the date of Buyer’s discovery of the noncompliance of the Goods with the foregoing warranties. </w:t>
      </w:r>
    </w:p>
    <w:p w14:paraId="59038F21" w14:textId="009B5A1C" w:rsidR="003375C2"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lastRenderedPageBreak/>
        <w:t xml:space="preserve">INDEMNITY AND HOLD HARMLESS. </w:t>
      </w:r>
      <w:r w:rsidRPr="006F735F">
        <w:rPr>
          <w:rFonts w:asciiTheme="majorHAnsi" w:hAnsiTheme="majorHAnsi"/>
          <w:sz w:val="20"/>
          <w:szCs w:val="20"/>
        </w:rPr>
        <w:t>The Seller shall</w:t>
      </w:r>
      <w:r w:rsidR="00350768">
        <w:rPr>
          <w:rFonts w:asciiTheme="majorHAnsi" w:hAnsiTheme="majorHAnsi"/>
          <w:sz w:val="20"/>
          <w:szCs w:val="20"/>
        </w:rPr>
        <w:t xml:space="preserve"> </w:t>
      </w:r>
      <w:r w:rsidR="00350768" w:rsidRPr="009C24B0">
        <w:rPr>
          <w:rFonts w:ascii="Calibri" w:hAnsi="Calibri"/>
          <w:sz w:val="19"/>
          <w:szCs w:val="19"/>
        </w:rPr>
        <w:t>defend</w:t>
      </w:r>
      <w:r w:rsidR="00350768">
        <w:rPr>
          <w:rFonts w:ascii="Calibri" w:hAnsi="Calibri"/>
          <w:sz w:val="19"/>
          <w:szCs w:val="19"/>
        </w:rPr>
        <w:t>,</w:t>
      </w:r>
      <w:r w:rsidRPr="006F735F">
        <w:rPr>
          <w:rFonts w:asciiTheme="majorHAnsi" w:hAnsiTheme="majorHAnsi"/>
          <w:sz w:val="20"/>
          <w:szCs w:val="20"/>
        </w:rPr>
        <w:t xml:space="preserve"> hold harmless and indemnify the Buyer from</w:t>
      </w:r>
      <w:r w:rsidR="004D1C1C" w:rsidRPr="006F735F">
        <w:rPr>
          <w:rFonts w:asciiTheme="majorHAnsi" w:hAnsiTheme="majorHAnsi"/>
          <w:sz w:val="20"/>
          <w:szCs w:val="20"/>
        </w:rPr>
        <w:t xml:space="preserve"> </w:t>
      </w:r>
      <w:r w:rsidRPr="006F735F">
        <w:rPr>
          <w:rFonts w:asciiTheme="majorHAnsi" w:hAnsiTheme="majorHAnsi"/>
          <w:sz w:val="20"/>
          <w:szCs w:val="20"/>
        </w:rPr>
        <w:t xml:space="preserve">and against any and all claims, demands, </w:t>
      </w:r>
      <w:r w:rsidR="003A35B9" w:rsidRPr="009C24B0">
        <w:rPr>
          <w:rFonts w:ascii="Calibri" w:hAnsi="Calibri"/>
          <w:sz w:val="19"/>
          <w:szCs w:val="19"/>
        </w:rPr>
        <w:t>penalty, fine, cost or expense</w:t>
      </w:r>
      <w:r w:rsidR="003A35B9" w:rsidRPr="006F735F">
        <w:rPr>
          <w:rFonts w:asciiTheme="majorHAnsi" w:hAnsiTheme="majorHAnsi"/>
          <w:sz w:val="20"/>
          <w:szCs w:val="20"/>
        </w:rPr>
        <w:t xml:space="preserve"> </w:t>
      </w:r>
      <w:r w:rsidR="003A35B9">
        <w:rPr>
          <w:rFonts w:asciiTheme="majorHAnsi" w:hAnsiTheme="majorHAnsi"/>
          <w:sz w:val="20"/>
          <w:szCs w:val="20"/>
        </w:rPr>
        <w:t>,</w:t>
      </w:r>
      <w:r w:rsidRPr="006F735F">
        <w:rPr>
          <w:rFonts w:asciiTheme="majorHAnsi" w:hAnsiTheme="majorHAnsi"/>
          <w:sz w:val="20"/>
          <w:szCs w:val="20"/>
        </w:rPr>
        <w:t>causes of action, suits or judgments (including costs,</w:t>
      </w:r>
      <w:r w:rsidR="004D1C1C" w:rsidRPr="006F735F">
        <w:rPr>
          <w:rFonts w:asciiTheme="majorHAnsi" w:hAnsiTheme="majorHAnsi"/>
          <w:sz w:val="20"/>
          <w:szCs w:val="20"/>
        </w:rPr>
        <w:t xml:space="preserve"> </w:t>
      </w:r>
      <w:r w:rsidRPr="006F735F">
        <w:rPr>
          <w:rFonts w:asciiTheme="majorHAnsi" w:hAnsiTheme="majorHAnsi"/>
          <w:sz w:val="20"/>
          <w:szCs w:val="20"/>
        </w:rPr>
        <w:t>expenses and reasonable attorney fees incurred in connection therewith) for the death or injury to any</w:t>
      </w:r>
      <w:r w:rsidR="004D1C1C" w:rsidRPr="006F735F">
        <w:rPr>
          <w:rFonts w:asciiTheme="majorHAnsi" w:hAnsiTheme="majorHAnsi"/>
          <w:sz w:val="20"/>
          <w:szCs w:val="20"/>
        </w:rPr>
        <w:t xml:space="preserve"> </w:t>
      </w:r>
      <w:r w:rsidRPr="006F735F">
        <w:rPr>
          <w:rFonts w:asciiTheme="majorHAnsi" w:hAnsiTheme="majorHAnsi"/>
          <w:sz w:val="20"/>
          <w:szCs w:val="20"/>
        </w:rPr>
        <w:t xml:space="preserve">person or for loss of or damage to property </w:t>
      </w:r>
      <w:r w:rsidR="00DD55CC" w:rsidRPr="009C24B0">
        <w:rPr>
          <w:rFonts w:ascii="Calibri" w:hAnsi="Calibri"/>
          <w:sz w:val="19"/>
          <w:szCs w:val="19"/>
        </w:rPr>
        <w:t>arising out of or occurring in connection with the Goods purchased from Seller</w:t>
      </w:r>
      <w:r w:rsidR="00DD55CC">
        <w:rPr>
          <w:rFonts w:ascii="Calibri" w:hAnsi="Calibri"/>
          <w:sz w:val="19"/>
          <w:szCs w:val="19"/>
        </w:rPr>
        <w:t>,</w:t>
      </w:r>
      <w:r w:rsidR="00DD55CC" w:rsidRPr="009C24B0">
        <w:rPr>
          <w:rFonts w:ascii="Calibri" w:hAnsi="Calibri"/>
          <w:sz w:val="19"/>
          <w:szCs w:val="19"/>
        </w:rPr>
        <w:t xml:space="preserve"> or Seller’s negligence, willful misconduct</w:t>
      </w:r>
      <w:r w:rsidR="00DD55CC">
        <w:rPr>
          <w:rFonts w:ascii="Calibri" w:hAnsi="Calibri"/>
          <w:sz w:val="19"/>
          <w:szCs w:val="19"/>
        </w:rPr>
        <w:t xml:space="preserve">, </w:t>
      </w:r>
      <w:r w:rsidR="00DD55CC" w:rsidRPr="009C24B0">
        <w:rPr>
          <w:rFonts w:ascii="Calibri" w:hAnsi="Calibri"/>
          <w:sz w:val="19"/>
          <w:szCs w:val="19"/>
        </w:rPr>
        <w:t>breach of th</w:t>
      </w:r>
      <w:r w:rsidR="00DD55CC">
        <w:rPr>
          <w:rFonts w:ascii="Calibri" w:hAnsi="Calibri"/>
          <w:sz w:val="19"/>
          <w:szCs w:val="19"/>
        </w:rPr>
        <w:t xml:space="preserve">is Agreement, or any claim that the Goods infringe or misappropriate any intellectual property rights of any third party. </w:t>
      </w:r>
      <w:r w:rsidRPr="006F735F">
        <w:rPr>
          <w:rFonts w:asciiTheme="majorHAnsi" w:hAnsiTheme="majorHAnsi"/>
          <w:sz w:val="20"/>
          <w:szCs w:val="20"/>
        </w:rPr>
        <w:t>whether or not caused by Buyer’s negligence. This indemnity and hold harmless provision shall</w:t>
      </w:r>
      <w:r w:rsidR="004D1C1C" w:rsidRPr="006F735F">
        <w:rPr>
          <w:rFonts w:asciiTheme="majorHAnsi" w:hAnsiTheme="majorHAnsi"/>
          <w:sz w:val="20"/>
          <w:szCs w:val="20"/>
        </w:rPr>
        <w:t xml:space="preserve"> </w:t>
      </w:r>
      <w:r w:rsidRPr="006F735F">
        <w:rPr>
          <w:rFonts w:asciiTheme="majorHAnsi" w:hAnsiTheme="majorHAnsi"/>
          <w:sz w:val="20"/>
          <w:szCs w:val="20"/>
        </w:rPr>
        <w:t>survive the termination of this purchase Order.</w:t>
      </w:r>
    </w:p>
    <w:p w14:paraId="3CB876FE" w14:textId="2714F783" w:rsidR="003375C2"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QUALITY CONTROL. </w:t>
      </w:r>
      <w:r w:rsidRPr="006F735F">
        <w:rPr>
          <w:rFonts w:asciiTheme="majorHAnsi" w:hAnsiTheme="majorHAnsi"/>
          <w:sz w:val="20"/>
          <w:szCs w:val="20"/>
        </w:rPr>
        <w:t>Seller shall establish and maintain a quality control system acceptable to Buyer for the</w:t>
      </w:r>
      <w:r w:rsidR="004D1C1C" w:rsidRPr="006F735F">
        <w:rPr>
          <w:rFonts w:asciiTheme="majorHAnsi" w:hAnsiTheme="majorHAnsi"/>
          <w:sz w:val="20"/>
          <w:szCs w:val="20"/>
        </w:rPr>
        <w:t xml:space="preserve"> </w:t>
      </w:r>
      <w:r w:rsidRPr="006F735F">
        <w:rPr>
          <w:rFonts w:asciiTheme="majorHAnsi" w:hAnsiTheme="majorHAnsi"/>
          <w:sz w:val="20"/>
          <w:szCs w:val="20"/>
        </w:rPr>
        <w:t>Goods purchased under this Order. Seller shall permit Buyer to review procedures, practices, processes and</w:t>
      </w:r>
      <w:r w:rsidR="004D1C1C" w:rsidRPr="006F735F">
        <w:rPr>
          <w:rFonts w:asciiTheme="majorHAnsi" w:hAnsiTheme="majorHAnsi"/>
          <w:sz w:val="20"/>
          <w:szCs w:val="20"/>
        </w:rPr>
        <w:t xml:space="preserve"> </w:t>
      </w:r>
      <w:r w:rsidRPr="006F735F">
        <w:rPr>
          <w:rFonts w:asciiTheme="majorHAnsi" w:hAnsiTheme="majorHAnsi"/>
          <w:sz w:val="20"/>
          <w:szCs w:val="20"/>
        </w:rPr>
        <w:t>related documents and applicable records at any level of the supply chain to determine such acceptability</w:t>
      </w:r>
      <w:r w:rsidR="00E1418C">
        <w:rPr>
          <w:rFonts w:asciiTheme="majorHAnsi" w:hAnsiTheme="majorHAnsi"/>
          <w:sz w:val="20"/>
          <w:szCs w:val="20"/>
        </w:rPr>
        <w:t xml:space="preserve"> </w:t>
      </w:r>
      <w:r w:rsidR="00B20D33">
        <w:rPr>
          <w:rFonts w:asciiTheme="majorHAnsi" w:hAnsiTheme="majorHAnsi"/>
          <w:sz w:val="20"/>
          <w:szCs w:val="20"/>
        </w:rPr>
        <w:t>for parts manufactured by the Seller</w:t>
      </w:r>
      <w:r w:rsidRPr="006F735F">
        <w:rPr>
          <w:rFonts w:asciiTheme="majorHAnsi" w:hAnsiTheme="majorHAnsi"/>
          <w:sz w:val="20"/>
          <w:szCs w:val="20"/>
        </w:rPr>
        <w:t>.</w:t>
      </w:r>
      <w:r w:rsidR="004D1C1C" w:rsidRPr="006F735F">
        <w:rPr>
          <w:rFonts w:asciiTheme="majorHAnsi" w:hAnsiTheme="majorHAnsi"/>
          <w:sz w:val="20"/>
          <w:szCs w:val="20"/>
        </w:rPr>
        <w:t xml:space="preserve"> </w:t>
      </w:r>
      <w:r w:rsidRPr="006F735F">
        <w:rPr>
          <w:rFonts w:asciiTheme="majorHAnsi" w:hAnsiTheme="majorHAnsi"/>
          <w:sz w:val="20"/>
          <w:szCs w:val="20"/>
        </w:rPr>
        <w:t xml:space="preserve">Seller shall utilize suppliers that have established quality </w:t>
      </w:r>
      <w:r w:rsidR="00865B26" w:rsidRPr="006F735F">
        <w:rPr>
          <w:rFonts w:asciiTheme="majorHAnsi" w:hAnsiTheme="majorHAnsi"/>
          <w:sz w:val="20"/>
          <w:szCs w:val="20"/>
        </w:rPr>
        <w:t>systems and</w:t>
      </w:r>
      <w:r w:rsidRPr="006F735F">
        <w:rPr>
          <w:rFonts w:asciiTheme="majorHAnsi" w:hAnsiTheme="majorHAnsi"/>
          <w:sz w:val="20"/>
          <w:szCs w:val="20"/>
        </w:rPr>
        <w:t xml:space="preserve"> monitor those systems. For special</w:t>
      </w:r>
      <w:r w:rsidR="004974F1" w:rsidRPr="006F735F">
        <w:rPr>
          <w:rFonts w:asciiTheme="majorHAnsi" w:hAnsiTheme="majorHAnsi"/>
          <w:sz w:val="20"/>
          <w:szCs w:val="20"/>
        </w:rPr>
        <w:t xml:space="preserve"> </w:t>
      </w:r>
      <w:r w:rsidRPr="006F735F">
        <w:rPr>
          <w:rFonts w:asciiTheme="majorHAnsi" w:hAnsiTheme="majorHAnsi"/>
          <w:sz w:val="20"/>
          <w:szCs w:val="20"/>
        </w:rPr>
        <w:t>processes such as heat treating, welding, plating</w:t>
      </w:r>
      <w:r w:rsidR="00865B26" w:rsidRPr="006F735F">
        <w:rPr>
          <w:rFonts w:asciiTheme="majorHAnsi" w:hAnsiTheme="majorHAnsi"/>
          <w:sz w:val="20"/>
          <w:szCs w:val="20"/>
        </w:rPr>
        <w:t>, and non</w:t>
      </w:r>
      <w:r w:rsidRPr="006F735F">
        <w:rPr>
          <w:rFonts w:asciiTheme="majorHAnsi" w:hAnsiTheme="majorHAnsi"/>
          <w:sz w:val="20"/>
          <w:szCs w:val="20"/>
        </w:rPr>
        <w:t>-destructive testing the seller shall use suppliers with</w:t>
      </w:r>
      <w:r w:rsidR="00A56C47" w:rsidRPr="006F735F">
        <w:rPr>
          <w:rFonts w:asciiTheme="majorHAnsi" w:hAnsiTheme="majorHAnsi"/>
          <w:sz w:val="20"/>
          <w:szCs w:val="20"/>
        </w:rPr>
        <w:t xml:space="preserve"> </w:t>
      </w:r>
      <w:r w:rsidRPr="006F735F">
        <w:rPr>
          <w:rFonts w:asciiTheme="majorHAnsi" w:hAnsiTheme="majorHAnsi"/>
          <w:sz w:val="20"/>
          <w:szCs w:val="20"/>
        </w:rPr>
        <w:t xml:space="preserve">a NADCAP registration. Sellers shall immediately report to </w:t>
      </w:r>
      <w:r w:rsidR="00865B26" w:rsidRPr="006F735F">
        <w:rPr>
          <w:rFonts w:asciiTheme="majorHAnsi" w:hAnsiTheme="majorHAnsi"/>
          <w:sz w:val="20"/>
          <w:szCs w:val="20"/>
        </w:rPr>
        <w:t>the Buyer</w:t>
      </w:r>
      <w:r w:rsidRPr="006F735F">
        <w:rPr>
          <w:rFonts w:asciiTheme="majorHAnsi" w:hAnsiTheme="majorHAnsi"/>
          <w:sz w:val="20"/>
          <w:szCs w:val="20"/>
        </w:rPr>
        <w:t xml:space="preserve"> if Goods provided by Supplier are found or</w:t>
      </w:r>
      <w:r w:rsidR="00A56C47" w:rsidRPr="006F735F">
        <w:rPr>
          <w:rFonts w:asciiTheme="majorHAnsi" w:hAnsiTheme="majorHAnsi"/>
          <w:sz w:val="20"/>
          <w:szCs w:val="20"/>
        </w:rPr>
        <w:t xml:space="preserve"> </w:t>
      </w:r>
      <w:r w:rsidRPr="006F735F">
        <w:rPr>
          <w:rFonts w:asciiTheme="majorHAnsi" w:hAnsiTheme="majorHAnsi"/>
          <w:sz w:val="20"/>
          <w:szCs w:val="20"/>
        </w:rPr>
        <w:t>ha</w:t>
      </w:r>
      <w:r w:rsidR="00B8341D">
        <w:rPr>
          <w:rFonts w:asciiTheme="majorHAnsi" w:hAnsiTheme="majorHAnsi"/>
          <w:sz w:val="20"/>
          <w:szCs w:val="20"/>
        </w:rPr>
        <w:t>ve</w:t>
      </w:r>
      <w:r w:rsidRPr="006F735F">
        <w:rPr>
          <w:rFonts w:asciiTheme="majorHAnsi" w:hAnsiTheme="majorHAnsi"/>
          <w:sz w:val="20"/>
          <w:szCs w:val="20"/>
        </w:rPr>
        <w:t xml:space="preserve"> subsequently been found to not conform to applicable requirements. A supplier will be rated on a combination</w:t>
      </w:r>
      <w:r w:rsidR="00A56C47" w:rsidRPr="006F735F">
        <w:rPr>
          <w:rFonts w:asciiTheme="majorHAnsi" w:hAnsiTheme="majorHAnsi"/>
          <w:sz w:val="20"/>
          <w:szCs w:val="20"/>
        </w:rPr>
        <w:t xml:space="preserve"> </w:t>
      </w:r>
      <w:r w:rsidRPr="006F735F">
        <w:rPr>
          <w:rFonts w:asciiTheme="majorHAnsi" w:hAnsiTheme="majorHAnsi"/>
          <w:sz w:val="20"/>
          <w:szCs w:val="20"/>
        </w:rPr>
        <w:t>of quality and delivery. If that rating falls below 85% the supplier will be notified. Suppliers may request their current</w:t>
      </w:r>
      <w:r w:rsidR="00A56C47" w:rsidRPr="006F735F">
        <w:rPr>
          <w:rFonts w:asciiTheme="majorHAnsi" w:hAnsiTheme="majorHAnsi"/>
          <w:sz w:val="20"/>
          <w:szCs w:val="20"/>
        </w:rPr>
        <w:t xml:space="preserve"> </w:t>
      </w:r>
      <w:r w:rsidRPr="006F735F">
        <w:rPr>
          <w:rFonts w:asciiTheme="majorHAnsi" w:hAnsiTheme="majorHAnsi"/>
          <w:sz w:val="20"/>
          <w:szCs w:val="20"/>
        </w:rPr>
        <w:t>quality rating.</w:t>
      </w:r>
    </w:p>
    <w:p w14:paraId="48D4273E" w14:textId="604F6C33" w:rsidR="003375C2"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V</w:t>
      </w:r>
      <w:r w:rsidRPr="006F735F">
        <w:rPr>
          <w:rFonts w:asciiTheme="majorHAnsi" w:hAnsiTheme="majorHAnsi"/>
          <w:b/>
          <w:bCs/>
          <w:caps/>
          <w:sz w:val="20"/>
          <w:szCs w:val="20"/>
        </w:rPr>
        <w:t xml:space="preserve">erification or Validation of </w:t>
      </w:r>
      <w:r w:rsidR="0091780B" w:rsidRPr="006F735F">
        <w:rPr>
          <w:rFonts w:asciiTheme="majorHAnsi" w:hAnsiTheme="majorHAnsi"/>
          <w:b/>
          <w:bCs/>
          <w:caps/>
          <w:sz w:val="20"/>
          <w:szCs w:val="20"/>
        </w:rPr>
        <w:t>PRODUCT</w:t>
      </w:r>
      <w:r w:rsidR="00A04FC4">
        <w:rPr>
          <w:rFonts w:asciiTheme="majorHAnsi" w:hAnsiTheme="majorHAnsi"/>
          <w:b/>
          <w:bCs/>
          <w:caps/>
          <w:sz w:val="20"/>
          <w:szCs w:val="20"/>
        </w:rPr>
        <w:t>.</w:t>
      </w:r>
      <w:r w:rsidRPr="006F735F">
        <w:rPr>
          <w:rFonts w:asciiTheme="majorHAnsi" w:hAnsiTheme="majorHAnsi"/>
          <w:sz w:val="20"/>
          <w:szCs w:val="20"/>
        </w:rPr>
        <w:t xml:space="preserve"> The supplier shall ensure that product </w:t>
      </w:r>
      <w:r w:rsidR="0000240A">
        <w:rPr>
          <w:rFonts w:asciiTheme="majorHAnsi" w:hAnsiTheme="majorHAnsi"/>
          <w:sz w:val="20"/>
          <w:szCs w:val="20"/>
        </w:rPr>
        <w:t>conforms</w:t>
      </w:r>
      <w:r w:rsidRPr="006F735F">
        <w:rPr>
          <w:rFonts w:asciiTheme="majorHAnsi" w:hAnsiTheme="majorHAnsi"/>
          <w:sz w:val="20"/>
          <w:szCs w:val="20"/>
        </w:rPr>
        <w:t xml:space="preserve"> to the specified design requirements</w:t>
      </w:r>
      <w:r w:rsidR="0000240A">
        <w:rPr>
          <w:rFonts w:asciiTheme="majorHAnsi" w:hAnsiTheme="majorHAnsi"/>
          <w:sz w:val="20"/>
          <w:szCs w:val="20"/>
        </w:rPr>
        <w:t xml:space="preserve"> </w:t>
      </w:r>
      <w:r w:rsidRPr="006F735F">
        <w:rPr>
          <w:rFonts w:asciiTheme="majorHAnsi" w:hAnsiTheme="majorHAnsi"/>
          <w:sz w:val="20"/>
          <w:szCs w:val="20"/>
        </w:rPr>
        <w:t>including those related to development, testing, inspection, and fabrication</w:t>
      </w:r>
      <w:r w:rsidR="0000240A">
        <w:rPr>
          <w:rFonts w:asciiTheme="majorHAnsi" w:hAnsiTheme="majorHAnsi"/>
          <w:sz w:val="20"/>
          <w:szCs w:val="20"/>
        </w:rPr>
        <w:t xml:space="preserve"> and</w:t>
      </w:r>
      <w:r w:rsidR="00A4501C">
        <w:rPr>
          <w:rFonts w:asciiTheme="majorHAnsi" w:hAnsiTheme="majorHAnsi"/>
          <w:sz w:val="20"/>
          <w:szCs w:val="20"/>
        </w:rPr>
        <w:t xml:space="preserve"> </w:t>
      </w:r>
      <w:r w:rsidRPr="006F735F">
        <w:rPr>
          <w:rFonts w:asciiTheme="majorHAnsi" w:hAnsiTheme="majorHAnsi"/>
          <w:sz w:val="20"/>
          <w:szCs w:val="20"/>
        </w:rPr>
        <w:t>is verified and/or validated</w:t>
      </w:r>
      <w:r w:rsidR="00A053CA">
        <w:rPr>
          <w:rFonts w:asciiTheme="majorHAnsi" w:hAnsiTheme="majorHAnsi"/>
          <w:sz w:val="20"/>
          <w:szCs w:val="20"/>
        </w:rPr>
        <w:t xml:space="preserve"> with data</w:t>
      </w:r>
      <w:r w:rsidRPr="006F735F">
        <w:rPr>
          <w:rFonts w:asciiTheme="majorHAnsi" w:hAnsiTheme="majorHAnsi"/>
          <w:sz w:val="20"/>
          <w:szCs w:val="20"/>
        </w:rPr>
        <w:t xml:space="preserve">. Objective evidence of conformity shall be </w:t>
      </w:r>
      <w:r w:rsidR="00F97AAE">
        <w:rPr>
          <w:rFonts w:asciiTheme="majorHAnsi" w:hAnsiTheme="majorHAnsi"/>
          <w:sz w:val="20"/>
          <w:szCs w:val="20"/>
        </w:rPr>
        <w:t xml:space="preserve">provided </w:t>
      </w:r>
      <w:r w:rsidRPr="006F735F">
        <w:rPr>
          <w:rFonts w:asciiTheme="majorHAnsi" w:hAnsiTheme="majorHAnsi"/>
          <w:sz w:val="20"/>
          <w:szCs w:val="20"/>
        </w:rPr>
        <w:t xml:space="preserve">using the AS9102 First Article Inspection (FAI) format or another format as agreed upon by the buyer. This </w:t>
      </w:r>
      <w:r w:rsidR="004430E6">
        <w:rPr>
          <w:rFonts w:asciiTheme="majorHAnsi" w:hAnsiTheme="majorHAnsi"/>
          <w:sz w:val="20"/>
          <w:szCs w:val="20"/>
        </w:rPr>
        <w:t xml:space="preserve">evidence of </w:t>
      </w:r>
      <w:r w:rsidR="006C4902">
        <w:rPr>
          <w:rFonts w:asciiTheme="majorHAnsi" w:hAnsiTheme="majorHAnsi"/>
          <w:sz w:val="20"/>
          <w:szCs w:val="20"/>
        </w:rPr>
        <w:t>conformity</w:t>
      </w:r>
      <w:r w:rsidRPr="006F735F">
        <w:rPr>
          <w:rFonts w:asciiTheme="majorHAnsi" w:hAnsiTheme="majorHAnsi"/>
          <w:sz w:val="20"/>
          <w:szCs w:val="20"/>
        </w:rPr>
        <w:t xml:space="preserve"> shall be provided with the </w:t>
      </w:r>
      <w:r w:rsidR="00344796" w:rsidRPr="006F735F">
        <w:rPr>
          <w:rFonts w:asciiTheme="majorHAnsi" w:hAnsiTheme="majorHAnsi"/>
          <w:sz w:val="20"/>
          <w:szCs w:val="20"/>
        </w:rPr>
        <w:t>product delivered</w:t>
      </w:r>
      <w:r w:rsidRPr="006F735F">
        <w:rPr>
          <w:rFonts w:asciiTheme="majorHAnsi" w:hAnsiTheme="majorHAnsi"/>
          <w:sz w:val="20"/>
          <w:szCs w:val="20"/>
        </w:rPr>
        <w:t xml:space="preserve"> unless otherwise specified.</w:t>
      </w:r>
    </w:p>
    <w:p w14:paraId="32C795A6" w14:textId="51F8CA77" w:rsidR="003375C2"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UNAUTHORIZED MATERIAL SUBSTITUTION. </w:t>
      </w:r>
      <w:r w:rsidRPr="006F735F">
        <w:rPr>
          <w:rFonts w:asciiTheme="majorHAnsi" w:hAnsiTheme="majorHAnsi"/>
          <w:sz w:val="20"/>
          <w:szCs w:val="20"/>
        </w:rPr>
        <w:t>Unauthorized material substitutions are not permitted.</w:t>
      </w:r>
      <w:r w:rsidR="00A56C47" w:rsidRPr="006F735F">
        <w:rPr>
          <w:rFonts w:asciiTheme="majorHAnsi" w:hAnsiTheme="majorHAnsi"/>
          <w:sz w:val="20"/>
          <w:szCs w:val="20"/>
        </w:rPr>
        <w:t xml:space="preserve"> </w:t>
      </w:r>
      <w:r w:rsidRPr="006F735F">
        <w:rPr>
          <w:rFonts w:asciiTheme="majorHAnsi" w:hAnsiTheme="majorHAnsi"/>
          <w:sz w:val="20"/>
          <w:szCs w:val="20"/>
        </w:rPr>
        <w:t xml:space="preserve">An unauthorized material substitution includes any deviation from the engineering definition of </w:t>
      </w:r>
      <w:proofErr w:type="gramStart"/>
      <w:r w:rsidR="004974F1" w:rsidRPr="006F735F">
        <w:rPr>
          <w:rFonts w:asciiTheme="majorHAnsi" w:hAnsiTheme="majorHAnsi"/>
          <w:sz w:val="20"/>
          <w:szCs w:val="20"/>
        </w:rPr>
        <w:t>a raw</w:t>
      </w:r>
      <w:proofErr w:type="gramEnd"/>
      <w:r w:rsidR="00A56C47" w:rsidRPr="006F735F">
        <w:rPr>
          <w:rFonts w:asciiTheme="majorHAnsi" w:hAnsiTheme="majorHAnsi"/>
          <w:sz w:val="20"/>
          <w:szCs w:val="20"/>
        </w:rPr>
        <w:t xml:space="preserve"> </w:t>
      </w:r>
      <w:r w:rsidRPr="006F735F">
        <w:rPr>
          <w:rFonts w:asciiTheme="majorHAnsi" w:hAnsiTheme="majorHAnsi"/>
          <w:sz w:val="20"/>
          <w:szCs w:val="20"/>
        </w:rPr>
        <w:t>material. Engineering definition includes Buyer design drawing and applicable specifications, product</w:t>
      </w:r>
      <w:r w:rsidR="00A56C47" w:rsidRPr="006F735F">
        <w:rPr>
          <w:rFonts w:asciiTheme="majorHAnsi" w:hAnsiTheme="majorHAnsi"/>
          <w:sz w:val="20"/>
          <w:szCs w:val="20"/>
        </w:rPr>
        <w:t xml:space="preserve"> </w:t>
      </w:r>
      <w:r w:rsidRPr="006F735F">
        <w:rPr>
          <w:rFonts w:asciiTheme="majorHAnsi" w:hAnsiTheme="majorHAnsi"/>
          <w:sz w:val="20"/>
          <w:szCs w:val="20"/>
        </w:rPr>
        <w:t>specifications, form, size, shape, chemistry, melt method, origin, temper/condition, product testing or</w:t>
      </w:r>
      <w:r w:rsidR="00A56C47" w:rsidRPr="006F735F">
        <w:rPr>
          <w:rFonts w:asciiTheme="majorHAnsi" w:hAnsiTheme="majorHAnsi"/>
          <w:sz w:val="20"/>
          <w:szCs w:val="20"/>
        </w:rPr>
        <w:t xml:space="preserve"> </w:t>
      </w:r>
      <w:r w:rsidRPr="006F735F">
        <w:rPr>
          <w:rFonts w:asciiTheme="majorHAnsi" w:hAnsiTheme="majorHAnsi"/>
          <w:sz w:val="20"/>
          <w:szCs w:val="20"/>
        </w:rPr>
        <w:t>surface finish. Alternate materials specified in the engineering definition (and often described as</w:t>
      </w:r>
      <w:r w:rsidR="00A56C47" w:rsidRPr="006F735F">
        <w:rPr>
          <w:rFonts w:asciiTheme="majorHAnsi" w:hAnsiTheme="majorHAnsi"/>
          <w:sz w:val="20"/>
          <w:szCs w:val="20"/>
        </w:rPr>
        <w:t xml:space="preserve"> </w:t>
      </w:r>
      <w:r w:rsidRPr="006F735F">
        <w:rPr>
          <w:rFonts w:asciiTheme="majorHAnsi" w:hAnsiTheme="majorHAnsi"/>
          <w:sz w:val="20"/>
          <w:szCs w:val="20"/>
        </w:rPr>
        <w:t>approved material substitutions there in) do not constitute unauthorized material substitution. Contact</w:t>
      </w:r>
      <w:r w:rsidR="00A56C47" w:rsidRPr="006F735F">
        <w:rPr>
          <w:rFonts w:asciiTheme="majorHAnsi" w:hAnsiTheme="majorHAnsi"/>
          <w:sz w:val="20"/>
          <w:szCs w:val="20"/>
        </w:rPr>
        <w:t xml:space="preserve"> </w:t>
      </w:r>
      <w:r w:rsidRPr="006F735F">
        <w:rPr>
          <w:rFonts w:asciiTheme="majorHAnsi" w:hAnsiTheme="majorHAnsi"/>
          <w:sz w:val="20"/>
          <w:szCs w:val="20"/>
        </w:rPr>
        <w:t>the Buyer regarding deviations to authorized materials. For additional material requirements see section 20.</w:t>
      </w:r>
    </w:p>
    <w:p w14:paraId="4F4F97A7" w14:textId="77777777" w:rsidR="00BE15D6" w:rsidRDefault="003375C2" w:rsidP="00023AE9">
      <w:pPr>
        <w:pStyle w:val="ListParagraph"/>
        <w:numPr>
          <w:ilvl w:val="0"/>
          <w:numId w:val="5"/>
        </w:numPr>
        <w:spacing w:line="240" w:lineRule="auto"/>
        <w:jc w:val="both"/>
        <w:rPr>
          <w:rFonts w:asciiTheme="majorHAnsi" w:hAnsiTheme="majorHAnsi"/>
          <w:sz w:val="20"/>
          <w:szCs w:val="20"/>
        </w:rPr>
      </w:pPr>
      <w:r w:rsidRPr="006F735F">
        <w:rPr>
          <w:rFonts w:asciiTheme="majorHAnsi" w:hAnsiTheme="majorHAnsi"/>
          <w:b/>
          <w:bCs/>
          <w:sz w:val="20"/>
          <w:szCs w:val="20"/>
        </w:rPr>
        <w:t xml:space="preserve">Temper Or Condition Conversion. </w:t>
      </w:r>
      <w:r w:rsidRPr="006F735F">
        <w:rPr>
          <w:rFonts w:asciiTheme="majorHAnsi" w:hAnsiTheme="majorHAnsi"/>
          <w:sz w:val="20"/>
          <w:szCs w:val="20"/>
        </w:rPr>
        <w:t>Unless specifically authorized by the engineering definition,</w:t>
      </w:r>
      <w:r w:rsidR="00A56C47" w:rsidRPr="006F735F">
        <w:rPr>
          <w:rFonts w:asciiTheme="majorHAnsi" w:hAnsiTheme="majorHAnsi"/>
          <w:sz w:val="20"/>
          <w:szCs w:val="20"/>
        </w:rPr>
        <w:t xml:space="preserve"> </w:t>
      </w:r>
      <w:r w:rsidRPr="006F735F">
        <w:rPr>
          <w:rFonts w:asciiTheme="majorHAnsi" w:hAnsiTheme="majorHAnsi"/>
          <w:sz w:val="20"/>
          <w:szCs w:val="20"/>
        </w:rPr>
        <w:t>conversion of a raw material (i.e. heat treat to change the temper or condition of the material)</w:t>
      </w:r>
      <w:r w:rsidR="00A56C47" w:rsidRPr="006F735F">
        <w:rPr>
          <w:rFonts w:asciiTheme="majorHAnsi" w:hAnsiTheme="majorHAnsi"/>
          <w:sz w:val="20"/>
          <w:szCs w:val="20"/>
        </w:rPr>
        <w:t xml:space="preserve"> </w:t>
      </w:r>
      <w:r w:rsidRPr="006F735F">
        <w:rPr>
          <w:rFonts w:asciiTheme="majorHAnsi" w:hAnsiTheme="majorHAnsi"/>
          <w:sz w:val="20"/>
          <w:szCs w:val="20"/>
        </w:rPr>
        <w:t xml:space="preserve">constitutes material substitution </w:t>
      </w:r>
      <w:proofErr w:type="gramStart"/>
      <w:r w:rsidRPr="006F735F">
        <w:rPr>
          <w:rFonts w:asciiTheme="majorHAnsi" w:hAnsiTheme="majorHAnsi"/>
          <w:sz w:val="20"/>
          <w:szCs w:val="20"/>
        </w:rPr>
        <w:t>of</w:t>
      </w:r>
      <w:proofErr w:type="gramEnd"/>
      <w:r w:rsidRPr="006F735F">
        <w:rPr>
          <w:rFonts w:asciiTheme="majorHAnsi" w:hAnsiTheme="majorHAnsi"/>
          <w:sz w:val="20"/>
          <w:szCs w:val="20"/>
        </w:rPr>
        <w:t xml:space="preserve"> the condition provided by the manufacturer.</w:t>
      </w:r>
    </w:p>
    <w:p w14:paraId="7F87A4AD" w14:textId="77777777" w:rsidR="00BE15D6" w:rsidRDefault="003375C2" w:rsidP="00023AE9">
      <w:pPr>
        <w:pStyle w:val="ListParagraph"/>
        <w:numPr>
          <w:ilvl w:val="0"/>
          <w:numId w:val="5"/>
        </w:numPr>
        <w:spacing w:line="240" w:lineRule="auto"/>
        <w:jc w:val="both"/>
        <w:rPr>
          <w:rFonts w:asciiTheme="majorHAnsi" w:hAnsiTheme="majorHAnsi"/>
          <w:sz w:val="20"/>
          <w:szCs w:val="20"/>
        </w:rPr>
      </w:pPr>
      <w:r w:rsidRPr="00BE15D6">
        <w:rPr>
          <w:rFonts w:asciiTheme="majorHAnsi" w:hAnsiTheme="majorHAnsi"/>
          <w:b/>
          <w:bCs/>
          <w:sz w:val="20"/>
          <w:szCs w:val="20"/>
        </w:rPr>
        <w:t xml:space="preserve">Metallic Raw Materials. </w:t>
      </w:r>
      <w:r w:rsidRPr="00BE15D6">
        <w:rPr>
          <w:rFonts w:asciiTheme="majorHAnsi" w:hAnsiTheme="majorHAnsi"/>
          <w:sz w:val="20"/>
          <w:szCs w:val="20"/>
        </w:rPr>
        <w:t>Buyer’s engineering drawings may refer to obsolete or superseded</w:t>
      </w:r>
      <w:r w:rsidR="00A56C47" w:rsidRPr="00BE15D6">
        <w:rPr>
          <w:rFonts w:asciiTheme="majorHAnsi" w:hAnsiTheme="majorHAnsi"/>
          <w:sz w:val="20"/>
          <w:szCs w:val="20"/>
        </w:rPr>
        <w:t xml:space="preserve"> </w:t>
      </w:r>
      <w:r w:rsidRPr="00BE15D6">
        <w:rPr>
          <w:rFonts w:asciiTheme="majorHAnsi" w:hAnsiTheme="majorHAnsi"/>
          <w:sz w:val="20"/>
          <w:szCs w:val="20"/>
        </w:rPr>
        <w:t>specifications covering several forms, thicknesses, widths, etc. of alloy or alloys. The required</w:t>
      </w:r>
      <w:r w:rsidR="003318F4" w:rsidRPr="00BE15D6">
        <w:rPr>
          <w:rFonts w:asciiTheme="majorHAnsi" w:hAnsiTheme="majorHAnsi"/>
          <w:sz w:val="20"/>
          <w:szCs w:val="20"/>
        </w:rPr>
        <w:t xml:space="preserve"> </w:t>
      </w:r>
      <w:r w:rsidRPr="00BE15D6">
        <w:rPr>
          <w:rFonts w:asciiTheme="majorHAnsi" w:hAnsiTheme="majorHAnsi"/>
          <w:sz w:val="20"/>
          <w:szCs w:val="20"/>
        </w:rPr>
        <w:t>characteristics of these materials are defined not only by the objective test standards of the</w:t>
      </w:r>
      <w:r w:rsidR="003318F4" w:rsidRPr="00BE15D6">
        <w:rPr>
          <w:rFonts w:asciiTheme="majorHAnsi" w:hAnsiTheme="majorHAnsi"/>
          <w:sz w:val="20"/>
          <w:szCs w:val="20"/>
        </w:rPr>
        <w:t xml:space="preserve"> </w:t>
      </w:r>
      <w:r w:rsidRPr="00BE15D6">
        <w:rPr>
          <w:rFonts w:asciiTheme="majorHAnsi" w:hAnsiTheme="majorHAnsi"/>
          <w:sz w:val="20"/>
          <w:szCs w:val="20"/>
        </w:rPr>
        <w:t>specifications, but by the processes/methods by which this final form is achieved. These</w:t>
      </w:r>
      <w:r w:rsidR="003318F4" w:rsidRPr="00BE15D6">
        <w:rPr>
          <w:rFonts w:asciiTheme="majorHAnsi" w:hAnsiTheme="majorHAnsi"/>
          <w:sz w:val="20"/>
          <w:szCs w:val="20"/>
        </w:rPr>
        <w:t xml:space="preserve"> </w:t>
      </w:r>
      <w:r w:rsidRPr="00BE15D6">
        <w:rPr>
          <w:rFonts w:asciiTheme="majorHAnsi" w:hAnsiTheme="majorHAnsi"/>
          <w:sz w:val="20"/>
          <w:szCs w:val="20"/>
        </w:rPr>
        <w:t xml:space="preserve">requirements are often captured in the definitions of the required material </w:t>
      </w:r>
      <w:r w:rsidR="00344796" w:rsidRPr="00BE15D6">
        <w:rPr>
          <w:rFonts w:asciiTheme="majorHAnsi" w:hAnsiTheme="majorHAnsi"/>
          <w:sz w:val="20"/>
          <w:szCs w:val="20"/>
        </w:rPr>
        <w:t>forms and</w:t>
      </w:r>
      <w:r w:rsidRPr="00BE15D6">
        <w:rPr>
          <w:rFonts w:asciiTheme="majorHAnsi" w:hAnsiTheme="majorHAnsi"/>
          <w:sz w:val="20"/>
          <w:szCs w:val="20"/>
        </w:rPr>
        <w:t xml:space="preserve"> may not be</w:t>
      </w:r>
      <w:r w:rsidR="00A222FE" w:rsidRPr="00BE15D6">
        <w:rPr>
          <w:rFonts w:asciiTheme="majorHAnsi" w:hAnsiTheme="majorHAnsi"/>
          <w:sz w:val="20"/>
          <w:szCs w:val="20"/>
        </w:rPr>
        <w:t xml:space="preserve"> </w:t>
      </w:r>
      <w:r w:rsidRPr="00BE15D6">
        <w:rPr>
          <w:rFonts w:asciiTheme="majorHAnsi" w:hAnsiTheme="majorHAnsi"/>
          <w:sz w:val="20"/>
          <w:szCs w:val="20"/>
        </w:rPr>
        <w:t xml:space="preserve">explicitly called out in </w:t>
      </w:r>
      <w:proofErr w:type="gramStart"/>
      <w:r w:rsidRPr="00BE15D6">
        <w:rPr>
          <w:rFonts w:asciiTheme="majorHAnsi" w:hAnsiTheme="majorHAnsi"/>
          <w:sz w:val="20"/>
          <w:szCs w:val="20"/>
        </w:rPr>
        <w:t>the detailed</w:t>
      </w:r>
      <w:proofErr w:type="gramEnd"/>
      <w:r w:rsidRPr="00BE15D6">
        <w:rPr>
          <w:rFonts w:asciiTheme="majorHAnsi" w:hAnsiTheme="majorHAnsi"/>
          <w:sz w:val="20"/>
          <w:szCs w:val="20"/>
        </w:rPr>
        <w:t xml:space="preserve"> requirements. The raw material certification results from both the</w:t>
      </w:r>
      <w:r w:rsidR="00A222FE" w:rsidRPr="00BE15D6">
        <w:rPr>
          <w:rFonts w:asciiTheme="majorHAnsi" w:hAnsiTheme="majorHAnsi"/>
          <w:sz w:val="20"/>
          <w:szCs w:val="20"/>
        </w:rPr>
        <w:t xml:space="preserve"> </w:t>
      </w:r>
      <w:r w:rsidRPr="00BE15D6">
        <w:rPr>
          <w:rFonts w:asciiTheme="majorHAnsi" w:hAnsiTheme="majorHAnsi"/>
          <w:sz w:val="20"/>
          <w:szCs w:val="20"/>
        </w:rPr>
        <w:t>process used to make it and the tests to verify basic properties. The Seller shall ensure that metallic</w:t>
      </w:r>
      <w:r w:rsidR="00A222FE" w:rsidRPr="00BE15D6">
        <w:rPr>
          <w:rFonts w:asciiTheme="majorHAnsi" w:hAnsiTheme="majorHAnsi"/>
          <w:sz w:val="20"/>
          <w:szCs w:val="20"/>
        </w:rPr>
        <w:t xml:space="preserve"> </w:t>
      </w:r>
      <w:r w:rsidRPr="00BE15D6">
        <w:rPr>
          <w:rFonts w:asciiTheme="majorHAnsi" w:hAnsiTheme="majorHAnsi"/>
          <w:sz w:val="20"/>
          <w:szCs w:val="20"/>
        </w:rPr>
        <w:t>materials covered by the current or obsolete/ superseded specifications are produced using the</w:t>
      </w:r>
      <w:r w:rsidR="00A222FE" w:rsidRPr="00BE15D6">
        <w:rPr>
          <w:rFonts w:asciiTheme="majorHAnsi" w:hAnsiTheme="majorHAnsi"/>
          <w:sz w:val="20"/>
          <w:szCs w:val="20"/>
        </w:rPr>
        <w:t xml:space="preserve"> </w:t>
      </w:r>
      <w:r w:rsidRPr="00BE15D6">
        <w:rPr>
          <w:rFonts w:asciiTheme="majorHAnsi" w:hAnsiTheme="majorHAnsi"/>
          <w:sz w:val="20"/>
          <w:szCs w:val="20"/>
        </w:rPr>
        <w:t xml:space="preserve">standard industry practices designed strictly </w:t>
      </w:r>
      <w:proofErr w:type="gramStart"/>
      <w:r w:rsidRPr="00BE15D6">
        <w:rPr>
          <w:rFonts w:asciiTheme="majorHAnsi" w:hAnsiTheme="majorHAnsi"/>
          <w:sz w:val="20"/>
          <w:szCs w:val="20"/>
        </w:rPr>
        <w:t>for the production of</w:t>
      </w:r>
      <w:proofErr w:type="gramEnd"/>
      <w:r w:rsidRPr="00BE15D6">
        <w:rPr>
          <w:rFonts w:asciiTheme="majorHAnsi" w:hAnsiTheme="majorHAnsi"/>
          <w:sz w:val="20"/>
          <w:szCs w:val="20"/>
        </w:rPr>
        <w:t xml:space="preserve"> stock to the specified thickness,</w:t>
      </w:r>
      <w:r w:rsidR="00A222FE" w:rsidRPr="00BE15D6">
        <w:rPr>
          <w:rFonts w:asciiTheme="majorHAnsi" w:hAnsiTheme="majorHAnsi"/>
          <w:sz w:val="20"/>
          <w:szCs w:val="20"/>
        </w:rPr>
        <w:t xml:space="preserve"> </w:t>
      </w:r>
      <w:r w:rsidRPr="00BE15D6">
        <w:rPr>
          <w:rFonts w:asciiTheme="majorHAnsi" w:hAnsiTheme="majorHAnsi"/>
          <w:sz w:val="20"/>
          <w:szCs w:val="20"/>
        </w:rPr>
        <w:t xml:space="preserve">diameter, width or </w:t>
      </w:r>
      <w:r w:rsidR="00344796" w:rsidRPr="00BE15D6">
        <w:rPr>
          <w:rFonts w:asciiTheme="majorHAnsi" w:hAnsiTheme="majorHAnsi"/>
          <w:sz w:val="20"/>
          <w:szCs w:val="20"/>
        </w:rPr>
        <w:t>cross-sectional</w:t>
      </w:r>
      <w:r w:rsidRPr="00BE15D6">
        <w:rPr>
          <w:rFonts w:asciiTheme="majorHAnsi" w:hAnsiTheme="majorHAnsi"/>
          <w:sz w:val="20"/>
          <w:szCs w:val="20"/>
        </w:rPr>
        <w:t xml:space="preserve"> area, achieved by thermo- mechanical processing or casting</w:t>
      </w:r>
      <w:r w:rsidR="00A222FE" w:rsidRPr="00BE15D6">
        <w:rPr>
          <w:rFonts w:asciiTheme="majorHAnsi" w:hAnsiTheme="majorHAnsi"/>
          <w:sz w:val="20"/>
          <w:szCs w:val="20"/>
        </w:rPr>
        <w:t xml:space="preserve"> </w:t>
      </w:r>
      <w:r w:rsidRPr="00BE15D6">
        <w:rPr>
          <w:rFonts w:asciiTheme="majorHAnsi" w:hAnsiTheme="majorHAnsi"/>
          <w:sz w:val="20"/>
          <w:szCs w:val="20"/>
        </w:rPr>
        <w:t>process. Chemical, electrochemical and mechanical methods used for the removal of surface scale</w:t>
      </w:r>
      <w:r w:rsidR="00A222FE" w:rsidRPr="00BE15D6">
        <w:rPr>
          <w:rFonts w:asciiTheme="majorHAnsi" w:hAnsiTheme="majorHAnsi"/>
          <w:sz w:val="20"/>
          <w:szCs w:val="20"/>
        </w:rPr>
        <w:t xml:space="preserve"> </w:t>
      </w:r>
      <w:r w:rsidRPr="00BE15D6">
        <w:rPr>
          <w:rFonts w:asciiTheme="majorHAnsi" w:hAnsiTheme="majorHAnsi"/>
          <w:sz w:val="20"/>
          <w:szCs w:val="20"/>
        </w:rPr>
        <w:t>or contamination, or the production of the required surface finish, in accordance with the material</w:t>
      </w:r>
      <w:r w:rsidR="00A222FE" w:rsidRPr="00BE15D6">
        <w:rPr>
          <w:rFonts w:asciiTheme="majorHAnsi" w:hAnsiTheme="majorHAnsi"/>
          <w:sz w:val="20"/>
          <w:szCs w:val="20"/>
        </w:rPr>
        <w:t xml:space="preserve"> </w:t>
      </w:r>
      <w:r w:rsidRPr="00BE15D6">
        <w:rPr>
          <w:rFonts w:asciiTheme="majorHAnsi" w:hAnsiTheme="majorHAnsi"/>
          <w:sz w:val="20"/>
          <w:szCs w:val="20"/>
        </w:rPr>
        <w:t>specification are acceptable. Raw material must not be re-certified with respect to thickness,</w:t>
      </w:r>
      <w:r w:rsidR="00A222FE" w:rsidRPr="00BE15D6">
        <w:rPr>
          <w:rFonts w:asciiTheme="majorHAnsi" w:hAnsiTheme="majorHAnsi"/>
          <w:sz w:val="20"/>
          <w:szCs w:val="20"/>
        </w:rPr>
        <w:t xml:space="preserve"> </w:t>
      </w:r>
      <w:r w:rsidRPr="00BE15D6">
        <w:rPr>
          <w:rFonts w:asciiTheme="majorHAnsi" w:hAnsiTheme="majorHAnsi"/>
          <w:sz w:val="20"/>
          <w:szCs w:val="20"/>
        </w:rPr>
        <w:t xml:space="preserve">diameter, width or </w:t>
      </w:r>
      <w:r w:rsidR="003318F4" w:rsidRPr="00BE15D6">
        <w:rPr>
          <w:rFonts w:asciiTheme="majorHAnsi" w:hAnsiTheme="majorHAnsi"/>
          <w:sz w:val="20"/>
          <w:szCs w:val="20"/>
        </w:rPr>
        <w:t>cross-sectional</w:t>
      </w:r>
      <w:r w:rsidRPr="00BE15D6">
        <w:rPr>
          <w:rFonts w:asciiTheme="majorHAnsi" w:hAnsiTheme="majorHAnsi"/>
          <w:sz w:val="20"/>
          <w:szCs w:val="20"/>
        </w:rPr>
        <w:t xml:space="preserve"> area or product form. Machining or cutting of thicker </w:t>
      </w:r>
      <w:r w:rsidR="003318F4" w:rsidRPr="00BE15D6">
        <w:rPr>
          <w:rFonts w:asciiTheme="majorHAnsi" w:hAnsiTheme="majorHAnsi"/>
          <w:sz w:val="20"/>
          <w:szCs w:val="20"/>
        </w:rPr>
        <w:t>products</w:t>
      </w:r>
      <w:r w:rsidR="00A222FE" w:rsidRPr="00BE15D6">
        <w:rPr>
          <w:rFonts w:asciiTheme="majorHAnsi" w:hAnsiTheme="majorHAnsi"/>
          <w:sz w:val="20"/>
          <w:szCs w:val="20"/>
        </w:rPr>
        <w:t xml:space="preserve"> </w:t>
      </w:r>
      <w:r w:rsidRPr="00BE15D6">
        <w:rPr>
          <w:rFonts w:asciiTheme="majorHAnsi" w:hAnsiTheme="majorHAnsi"/>
          <w:sz w:val="20"/>
          <w:szCs w:val="20"/>
        </w:rPr>
        <w:t>or other product forms shall not be supplied in lieu of specified product unless specifically authorized</w:t>
      </w:r>
      <w:r w:rsidR="00A222FE" w:rsidRPr="00BE15D6">
        <w:rPr>
          <w:rFonts w:asciiTheme="majorHAnsi" w:hAnsiTheme="majorHAnsi"/>
          <w:sz w:val="20"/>
          <w:szCs w:val="20"/>
        </w:rPr>
        <w:t xml:space="preserve"> </w:t>
      </w:r>
      <w:r w:rsidRPr="00BE15D6">
        <w:rPr>
          <w:rFonts w:asciiTheme="majorHAnsi" w:hAnsiTheme="majorHAnsi"/>
          <w:sz w:val="20"/>
          <w:szCs w:val="20"/>
        </w:rPr>
        <w:t>by the Buyer. Raw material certifications for material or parts shall reflect the form and size of the</w:t>
      </w:r>
      <w:r w:rsidR="00A222FE" w:rsidRPr="00BE15D6">
        <w:rPr>
          <w:rFonts w:asciiTheme="majorHAnsi" w:hAnsiTheme="majorHAnsi"/>
          <w:sz w:val="20"/>
          <w:szCs w:val="20"/>
        </w:rPr>
        <w:t xml:space="preserve"> </w:t>
      </w:r>
      <w:r w:rsidRPr="00BE15D6">
        <w:rPr>
          <w:rFonts w:asciiTheme="majorHAnsi" w:hAnsiTheme="majorHAnsi"/>
          <w:sz w:val="20"/>
          <w:szCs w:val="20"/>
        </w:rPr>
        <w:t>raw material as originally manufactured by the raw material producer. For additional material</w:t>
      </w:r>
      <w:r w:rsidR="00A222FE" w:rsidRPr="00BE15D6">
        <w:rPr>
          <w:rFonts w:asciiTheme="majorHAnsi" w:hAnsiTheme="majorHAnsi"/>
          <w:sz w:val="20"/>
          <w:szCs w:val="20"/>
        </w:rPr>
        <w:t xml:space="preserve"> </w:t>
      </w:r>
      <w:r w:rsidRPr="00BE15D6">
        <w:rPr>
          <w:rFonts w:asciiTheme="majorHAnsi" w:hAnsiTheme="majorHAnsi"/>
          <w:sz w:val="20"/>
          <w:szCs w:val="20"/>
        </w:rPr>
        <w:t>requirements see section 20.</w:t>
      </w:r>
    </w:p>
    <w:p w14:paraId="0B41C6B3" w14:textId="729CAC37" w:rsidR="005F0A9B" w:rsidRPr="00BE15D6" w:rsidRDefault="003375C2" w:rsidP="00023AE9">
      <w:pPr>
        <w:pStyle w:val="ListParagraph"/>
        <w:numPr>
          <w:ilvl w:val="0"/>
          <w:numId w:val="5"/>
        </w:numPr>
        <w:spacing w:line="240" w:lineRule="auto"/>
        <w:jc w:val="both"/>
        <w:rPr>
          <w:rFonts w:asciiTheme="majorHAnsi" w:hAnsiTheme="majorHAnsi"/>
          <w:sz w:val="20"/>
          <w:szCs w:val="20"/>
        </w:rPr>
      </w:pPr>
      <w:r w:rsidRPr="00BE15D6">
        <w:rPr>
          <w:rFonts w:asciiTheme="majorHAnsi" w:hAnsiTheme="majorHAnsi"/>
          <w:b/>
          <w:bCs/>
          <w:sz w:val="20"/>
          <w:szCs w:val="20"/>
        </w:rPr>
        <w:t xml:space="preserve">Reports. </w:t>
      </w:r>
      <w:r w:rsidRPr="00BE15D6">
        <w:rPr>
          <w:rFonts w:asciiTheme="majorHAnsi" w:hAnsiTheme="majorHAnsi"/>
          <w:sz w:val="20"/>
          <w:szCs w:val="20"/>
        </w:rPr>
        <w:t>Raw material certifications shall show clear traceability to the manufacturer(s) of the raw</w:t>
      </w:r>
      <w:r w:rsidR="00A222FE" w:rsidRPr="00BE15D6">
        <w:rPr>
          <w:rFonts w:asciiTheme="majorHAnsi" w:hAnsiTheme="majorHAnsi"/>
          <w:sz w:val="20"/>
          <w:szCs w:val="20"/>
        </w:rPr>
        <w:t xml:space="preserve"> </w:t>
      </w:r>
      <w:r w:rsidRPr="00BE15D6">
        <w:rPr>
          <w:rFonts w:asciiTheme="majorHAnsi" w:hAnsiTheme="majorHAnsi"/>
          <w:sz w:val="20"/>
          <w:szCs w:val="20"/>
        </w:rPr>
        <w:t xml:space="preserve">material including ingot source, all thermo-mechanical processing (i.e. forging, rolling, drawing, </w:t>
      </w:r>
      <w:proofErr w:type="spellStart"/>
      <w:r w:rsidRPr="00BE15D6">
        <w:rPr>
          <w:rFonts w:asciiTheme="majorHAnsi" w:hAnsiTheme="majorHAnsi"/>
          <w:sz w:val="20"/>
          <w:szCs w:val="20"/>
        </w:rPr>
        <w:t>etc</w:t>
      </w:r>
      <w:proofErr w:type="spellEnd"/>
      <w:r w:rsidRPr="00BE15D6">
        <w:rPr>
          <w:rFonts w:asciiTheme="majorHAnsi" w:hAnsiTheme="majorHAnsi"/>
          <w:sz w:val="20"/>
          <w:szCs w:val="20"/>
        </w:rPr>
        <w:t>),</w:t>
      </w:r>
      <w:r w:rsidR="00A222FE" w:rsidRPr="00BE15D6">
        <w:rPr>
          <w:rFonts w:asciiTheme="majorHAnsi" w:hAnsiTheme="majorHAnsi"/>
          <w:sz w:val="20"/>
          <w:szCs w:val="20"/>
        </w:rPr>
        <w:t xml:space="preserve"> </w:t>
      </w:r>
      <w:r w:rsidRPr="00BE15D6">
        <w:rPr>
          <w:rFonts w:asciiTheme="majorHAnsi" w:hAnsiTheme="majorHAnsi"/>
          <w:sz w:val="20"/>
          <w:szCs w:val="20"/>
        </w:rPr>
        <w:t>heat treatment, chemical processing and inspections as required by applicable raw material</w:t>
      </w:r>
      <w:r w:rsidR="00A222FE" w:rsidRPr="00BE15D6">
        <w:rPr>
          <w:rFonts w:asciiTheme="majorHAnsi" w:hAnsiTheme="majorHAnsi"/>
          <w:sz w:val="20"/>
          <w:szCs w:val="20"/>
        </w:rPr>
        <w:t xml:space="preserve"> </w:t>
      </w:r>
      <w:r w:rsidRPr="00BE15D6">
        <w:rPr>
          <w:rFonts w:asciiTheme="majorHAnsi" w:hAnsiTheme="majorHAnsi"/>
          <w:sz w:val="20"/>
          <w:szCs w:val="20"/>
        </w:rPr>
        <w:t>specifications requirements. Seller shall not disguise the pedigree of material or chain of ownership</w:t>
      </w:r>
      <w:r w:rsidR="00A222FE" w:rsidRPr="00BE15D6">
        <w:rPr>
          <w:rFonts w:asciiTheme="majorHAnsi" w:hAnsiTheme="majorHAnsi"/>
          <w:sz w:val="20"/>
          <w:szCs w:val="20"/>
        </w:rPr>
        <w:t xml:space="preserve"> </w:t>
      </w:r>
      <w:r w:rsidRPr="00BE15D6">
        <w:rPr>
          <w:rFonts w:asciiTheme="majorHAnsi" w:hAnsiTheme="majorHAnsi"/>
          <w:sz w:val="20"/>
          <w:szCs w:val="20"/>
        </w:rPr>
        <w:t xml:space="preserve">by removal of a previous </w:t>
      </w:r>
      <w:proofErr w:type="gramStart"/>
      <w:r w:rsidRPr="00BE15D6">
        <w:rPr>
          <w:rFonts w:asciiTheme="majorHAnsi" w:hAnsiTheme="majorHAnsi"/>
          <w:sz w:val="20"/>
          <w:szCs w:val="20"/>
        </w:rPr>
        <w:t>suppliers</w:t>
      </w:r>
      <w:proofErr w:type="gramEnd"/>
      <w:r w:rsidRPr="00BE15D6">
        <w:rPr>
          <w:rFonts w:asciiTheme="majorHAnsi" w:hAnsiTheme="majorHAnsi"/>
          <w:sz w:val="20"/>
          <w:szCs w:val="20"/>
        </w:rPr>
        <w:t xml:space="preserve"> name, nomenclature or identification. For additional material</w:t>
      </w:r>
      <w:r w:rsidR="00A222FE" w:rsidRPr="00BE15D6">
        <w:rPr>
          <w:rFonts w:asciiTheme="majorHAnsi" w:hAnsiTheme="majorHAnsi"/>
          <w:sz w:val="20"/>
          <w:szCs w:val="20"/>
        </w:rPr>
        <w:t xml:space="preserve"> </w:t>
      </w:r>
      <w:r w:rsidRPr="00BE15D6">
        <w:rPr>
          <w:rFonts w:asciiTheme="majorHAnsi" w:hAnsiTheme="majorHAnsi"/>
          <w:sz w:val="20"/>
          <w:szCs w:val="20"/>
        </w:rPr>
        <w:t>requirements see section 20.</w:t>
      </w:r>
      <w:r w:rsidR="005F0A9B" w:rsidRPr="00BE15D6">
        <w:rPr>
          <w:rFonts w:asciiTheme="majorHAnsi" w:hAnsiTheme="majorHAnsi"/>
          <w:sz w:val="20"/>
          <w:szCs w:val="20"/>
        </w:rPr>
        <w:t xml:space="preserve"> </w:t>
      </w:r>
    </w:p>
    <w:p w14:paraId="7CAA4E61" w14:textId="77777777" w:rsidR="005F0A9B"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TRACEABILITY. </w:t>
      </w:r>
      <w:r w:rsidRPr="006F735F">
        <w:rPr>
          <w:rFonts w:asciiTheme="majorHAnsi" w:hAnsiTheme="majorHAnsi"/>
          <w:sz w:val="20"/>
          <w:szCs w:val="20"/>
        </w:rPr>
        <w:t>The supplier shall establish and maintain traceability of all Goods delivered to Onboard</w:t>
      </w:r>
      <w:r w:rsidR="005F0A9B" w:rsidRPr="006F735F">
        <w:rPr>
          <w:rFonts w:asciiTheme="majorHAnsi" w:hAnsiTheme="majorHAnsi"/>
          <w:sz w:val="20"/>
          <w:szCs w:val="20"/>
        </w:rPr>
        <w:t xml:space="preserve"> </w:t>
      </w:r>
      <w:r w:rsidRPr="006F735F">
        <w:rPr>
          <w:rFonts w:asciiTheme="majorHAnsi" w:hAnsiTheme="majorHAnsi"/>
          <w:sz w:val="20"/>
          <w:szCs w:val="20"/>
        </w:rPr>
        <w:t>Systems.</w:t>
      </w:r>
      <w:r w:rsidR="005F0A9B" w:rsidRPr="006F735F">
        <w:rPr>
          <w:rFonts w:asciiTheme="majorHAnsi" w:hAnsiTheme="majorHAnsi"/>
          <w:sz w:val="20"/>
          <w:szCs w:val="20"/>
        </w:rPr>
        <w:t xml:space="preserve"> </w:t>
      </w:r>
    </w:p>
    <w:p w14:paraId="44A35252" w14:textId="21898D16" w:rsidR="003375C2" w:rsidRPr="006F735F" w:rsidRDefault="003375C2" w:rsidP="00023AE9">
      <w:pPr>
        <w:pStyle w:val="ListParagraph"/>
        <w:numPr>
          <w:ilvl w:val="0"/>
          <w:numId w:val="3"/>
        </w:numPr>
        <w:spacing w:line="240" w:lineRule="auto"/>
        <w:jc w:val="both"/>
        <w:rPr>
          <w:rFonts w:asciiTheme="majorHAnsi" w:hAnsiTheme="majorHAnsi"/>
          <w:sz w:val="20"/>
          <w:szCs w:val="20"/>
        </w:rPr>
      </w:pPr>
      <w:r w:rsidRPr="006F735F">
        <w:rPr>
          <w:rFonts w:asciiTheme="majorHAnsi" w:hAnsiTheme="majorHAnsi"/>
          <w:sz w:val="20"/>
          <w:szCs w:val="20"/>
        </w:rPr>
        <w:lastRenderedPageBreak/>
        <w:t>Seller shall not deliver counterfeit parts. Seller shall maintain a method of item traceability that</w:t>
      </w:r>
      <w:r w:rsidR="005F0A9B" w:rsidRPr="006F735F">
        <w:rPr>
          <w:rFonts w:asciiTheme="majorHAnsi" w:hAnsiTheme="majorHAnsi"/>
          <w:sz w:val="20"/>
          <w:szCs w:val="20"/>
        </w:rPr>
        <w:t xml:space="preserve"> </w:t>
      </w:r>
      <w:r w:rsidRPr="006F735F">
        <w:rPr>
          <w:rFonts w:asciiTheme="majorHAnsi" w:hAnsiTheme="majorHAnsi"/>
          <w:sz w:val="20"/>
          <w:szCs w:val="20"/>
        </w:rPr>
        <w:t>ensures tracking of the supply chain back to the manufacturer of all raw material, fasteners,</w:t>
      </w:r>
      <w:r w:rsidR="005F0A9B" w:rsidRPr="006F735F">
        <w:rPr>
          <w:rFonts w:asciiTheme="majorHAnsi" w:hAnsiTheme="majorHAnsi"/>
          <w:sz w:val="20"/>
          <w:szCs w:val="20"/>
        </w:rPr>
        <w:t xml:space="preserve"> </w:t>
      </w:r>
      <w:r w:rsidRPr="006F735F">
        <w:rPr>
          <w:rFonts w:asciiTheme="majorHAnsi" w:hAnsiTheme="majorHAnsi"/>
          <w:sz w:val="20"/>
          <w:szCs w:val="20"/>
        </w:rPr>
        <w:t xml:space="preserve">electrical, electronic, and electromechanical parts being delivered </w:t>
      </w:r>
      <w:proofErr w:type="gramStart"/>
      <w:r w:rsidRPr="006F735F">
        <w:rPr>
          <w:rFonts w:asciiTheme="majorHAnsi" w:hAnsiTheme="majorHAnsi"/>
          <w:sz w:val="20"/>
          <w:szCs w:val="20"/>
        </w:rPr>
        <w:t>per</w:t>
      </w:r>
      <w:proofErr w:type="gramEnd"/>
      <w:r w:rsidRPr="006F735F">
        <w:rPr>
          <w:rFonts w:asciiTheme="majorHAnsi" w:hAnsiTheme="majorHAnsi"/>
          <w:sz w:val="20"/>
          <w:szCs w:val="20"/>
        </w:rPr>
        <w:t xml:space="preserve"> this Order. This traceability</w:t>
      </w:r>
      <w:r w:rsidR="005F0A9B" w:rsidRPr="006F735F">
        <w:rPr>
          <w:rFonts w:asciiTheme="majorHAnsi" w:hAnsiTheme="majorHAnsi"/>
          <w:sz w:val="20"/>
          <w:szCs w:val="20"/>
        </w:rPr>
        <w:t xml:space="preserve"> </w:t>
      </w:r>
      <w:r w:rsidRPr="006F735F">
        <w:rPr>
          <w:rFonts w:asciiTheme="majorHAnsi" w:hAnsiTheme="majorHAnsi"/>
          <w:sz w:val="20"/>
          <w:szCs w:val="20"/>
        </w:rPr>
        <w:t>method shall clearly identify the name and location of all the supply chain intermediaries from the</w:t>
      </w:r>
      <w:r w:rsidR="005F0A9B" w:rsidRPr="006F735F">
        <w:rPr>
          <w:rFonts w:asciiTheme="majorHAnsi" w:hAnsiTheme="majorHAnsi"/>
          <w:sz w:val="20"/>
          <w:szCs w:val="20"/>
        </w:rPr>
        <w:t xml:space="preserve"> </w:t>
      </w:r>
      <w:r w:rsidRPr="006F735F">
        <w:rPr>
          <w:rFonts w:asciiTheme="majorHAnsi" w:hAnsiTheme="majorHAnsi"/>
          <w:sz w:val="20"/>
          <w:szCs w:val="20"/>
        </w:rPr>
        <w:t xml:space="preserve">manufacturer to the </w:t>
      </w:r>
      <w:proofErr w:type="gramStart"/>
      <w:r w:rsidRPr="006F735F">
        <w:rPr>
          <w:rFonts w:asciiTheme="majorHAnsi" w:hAnsiTheme="majorHAnsi"/>
          <w:sz w:val="20"/>
          <w:szCs w:val="20"/>
        </w:rPr>
        <w:t>Seller, and</w:t>
      </w:r>
      <w:proofErr w:type="gramEnd"/>
      <w:r w:rsidRPr="006F735F">
        <w:rPr>
          <w:rFonts w:asciiTheme="majorHAnsi" w:hAnsiTheme="majorHAnsi"/>
          <w:sz w:val="20"/>
          <w:szCs w:val="20"/>
        </w:rPr>
        <w:t xml:space="preserve"> shall include the manufacturer’s batch identification for the item(s)</w:t>
      </w:r>
      <w:r w:rsidR="005F0A9B" w:rsidRPr="006F735F">
        <w:rPr>
          <w:rFonts w:asciiTheme="majorHAnsi" w:hAnsiTheme="majorHAnsi"/>
          <w:sz w:val="20"/>
          <w:szCs w:val="20"/>
        </w:rPr>
        <w:t xml:space="preserve"> </w:t>
      </w:r>
      <w:r w:rsidRPr="006F735F">
        <w:rPr>
          <w:rFonts w:asciiTheme="majorHAnsi" w:hAnsiTheme="majorHAnsi"/>
          <w:sz w:val="20"/>
          <w:szCs w:val="20"/>
        </w:rPr>
        <w:t>such as date codes, serializations, or other batch identifications. Seller shall promptly replace goods</w:t>
      </w:r>
      <w:r w:rsidR="005F0A9B" w:rsidRPr="006F735F">
        <w:rPr>
          <w:rFonts w:asciiTheme="majorHAnsi" w:hAnsiTheme="majorHAnsi"/>
          <w:sz w:val="20"/>
          <w:szCs w:val="20"/>
        </w:rPr>
        <w:t xml:space="preserve"> </w:t>
      </w:r>
      <w:r w:rsidRPr="006F735F">
        <w:rPr>
          <w:rFonts w:asciiTheme="majorHAnsi" w:hAnsiTheme="majorHAnsi"/>
          <w:sz w:val="20"/>
          <w:szCs w:val="20"/>
        </w:rPr>
        <w:t>found to be counterfeit with such items acceptable to Buyer.</w:t>
      </w:r>
    </w:p>
    <w:p w14:paraId="61DBA612" w14:textId="264BF267" w:rsidR="003375C2" w:rsidRPr="006F735F" w:rsidRDefault="003375C2" w:rsidP="00023AE9">
      <w:pPr>
        <w:pStyle w:val="ListParagraph"/>
        <w:numPr>
          <w:ilvl w:val="0"/>
          <w:numId w:val="3"/>
        </w:numPr>
        <w:spacing w:line="240" w:lineRule="auto"/>
        <w:jc w:val="both"/>
        <w:rPr>
          <w:rFonts w:asciiTheme="majorHAnsi" w:hAnsiTheme="majorHAnsi"/>
          <w:sz w:val="20"/>
          <w:szCs w:val="20"/>
        </w:rPr>
      </w:pPr>
      <w:r w:rsidRPr="006F735F">
        <w:rPr>
          <w:rFonts w:asciiTheme="majorHAnsi" w:hAnsiTheme="majorHAnsi"/>
          <w:sz w:val="20"/>
          <w:szCs w:val="20"/>
        </w:rPr>
        <w:t>Sellers shall maintain all data which provides traceability of each component to the raw material from</w:t>
      </w:r>
      <w:r w:rsidR="001A72CD" w:rsidRPr="006F735F">
        <w:rPr>
          <w:rFonts w:asciiTheme="majorHAnsi" w:hAnsiTheme="majorHAnsi"/>
          <w:sz w:val="20"/>
          <w:szCs w:val="20"/>
        </w:rPr>
        <w:t xml:space="preserve"> </w:t>
      </w:r>
      <w:r w:rsidRPr="006F735F">
        <w:rPr>
          <w:rFonts w:asciiTheme="majorHAnsi" w:hAnsiTheme="majorHAnsi"/>
          <w:sz w:val="20"/>
          <w:szCs w:val="20"/>
        </w:rPr>
        <w:t>which it was made, including all processing, testing and inspection operations performed during</w:t>
      </w:r>
      <w:r w:rsidR="001A72CD" w:rsidRPr="006F735F">
        <w:rPr>
          <w:rFonts w:asciiTheme="majorHAnsi" w:hAnsiTheme="majorHAnsi"/>
          <w:sz w:val="20"/>
          <w:szCs w:val="20"/>
        </w:rPr>
        <w:t xml:space="preserve"> </w:t>
      </w:r>
      <w:r w:rsidRPr="006F735F">
        <w:rPr>
          <w:rFonts w:asciiTheme="majorHAnsi" w:hAnsiTheme="majorHAnsi"/>
          <w:sz w:val="20"/>
          <w:szCs w:val="20"/>
        </w:rPr>
        <w:t>manufacturing operations for a period of 10 years.</w:t>
      </w:r>
    </w:p>
    <w:p w14:paraId="194CF8BD" w14:textId="148D1CFE" w:rsidR="003375C2" w:rsidRPr="006F735F" w:rsidRDefault="003375C2" w:rsidP="00023AE9">
      <w:pPr>
        <w:pStyle w:val="ListParagraph"/>
        <w:numPr>
          <w:ilvl w:val="0"/>
          <w:numId w:val="3"/>
        </w:numPr>
        <w:spacing w:line="240" w:lineRule="auto"/>
        <w:jc w:val="both"/>
        <w:rPr>
          <w:rFonts w:asciiTheme="majorHAnsi" w:hAnsiTheme="majorHAnsi"/>
          <w:sz w:val="20"/>
          <w:szCs w:val="20"/>
        </w:rPr>
      </w:pPr>
      <w:r w:rsidRPr="006F735F">
        <w:rPr>
          <w:rFonts w:asciiTheme="majorHAnsi" w:hAnsiTheme="majorHAnsi"/>
          <w:sz w:val="20"/>
          <w:szCs w:val="20"/>
        </w:rPr>
        <w:t>Lot traceability number(s) shall be noted on the certificate of conformance provided with each</w:t>
      </w:r>
      <w:r w:rsidR="001A72CD" w:rsidRPr="006F735F">
        <w:rPr>
          <w:rFonts w:asciiTheme="majorHAnsi" w:hAnsiTheme="majorHAnsi"/>
          <w:sz w:val="20"/>
          <w:szCs w:val="20"/>
        </w:rPr>
        <w:t xml:space="preserve"> </w:t>
      </w:r>
      <w:r w:rsidRPr="006F735F">
        <w:rPr>
          <w:rFonts w:asciiTheme="majorHAnsi" w:hAnsiTheme="majorHAnsi"/>
          <w:sz w:val="20"/>
          <w:szCs w:val="20"/>
        </w:rPr>
        <w:t>delivered lot.</w:t>
      </w:r>
    </w:p>
    <w:p w14:paraId="49B72720" w14:textId="05A488C4" w:rsidR="003375C2" w:rsidRPr="006F735F" w:rsidRDefault="003375C2" w:rsidP="00023AE9">
      <w:pPr>
        <w:pStyle w:val="ListParagraph"/>
        <w:numPr>
          <w:ilvl w:val="0"/>
          <w:numId w:val="3"/>
        </w:numPr>
        <w:spacing w:line="240" w:lineRule="auto"/>
        <w:jc w:val="both"/>
        <w:rPr>
          <w:rFonts w:asciiTheme="majorHAnsi" w:hAnsiTheme="majorHAnsi"/>
          <w:sz w:val="20"/>
          <w:szCs w:val="20"/>
        </w:rPr>
      </w:pPr>
      <w:r w:rsidRPr="006F735F">
        <w:rPr>
          <w:rFonts w:asciiTheme="majorHAnsi" w:hAnsiTheme="majorHAnsi"/>
          <w:sz w:val="20"/>
          <w:szCs w:val="20"/>
        </w:rPr>
        <w:t>If more than one manufacturing lot is delivered, parts will be segregated by lot and identified</w:t>
      </w:r>
      <w:r w:rsidR="001A72CD" w:rsidRPr="006F735F">
        <w:rPr>
          <w:rFonts w:asciiTheme="majorHAnsi" w:hAnsiTheme="majorHAnsi"/>
          <w:sz w:val="20"/>
          <w:szCs w:val="20"/>
        </w:rPr>
        <w:t xml:space="preserve"> </w:t>
      </w:r>
      <w:r w:rsidRPr="006F735F">
        <w:rPr>
          <w:rFonts w:asciiTheme="majorHAnsi" w:hAnsiTheme="majorHAnsi"/>
          <w:sz w:val="20"/>
          <w:szCs w:val="20"/>
        </w:rPr>
        <w:t xml:space="preserve">accordingly to </w:t>
      </w:r>
      <w:r w:rsidR="002554C0" w:rsidRPr="006F735F">
        <w:rPr>
          <w:rFonts w:asciiTheme="majorHAnsi" w:hAnsiTheme="majorHAnsi"/>
          <w:sz w:val="20"/>
          <w:szCs w:val="20"/>
        </w:rPr>
        <w:t>ensure that the</w:t>
      </w:r>
      <w:r w:rsidRPr="006F735F">
        <w:rPr>
          <w:rFonts w:asciiTheme="majorHAnsi" w:hAnsiTheme="majorHAnsi"/>
          <w:sz w:val="20"/>
          <w:szCs w:val="20"/>
        </w:rPr>
        <w:t xml:space="preserve"> lot traceability is maintained.</w:t>
      </w:r>
    </w:p>
    <w:p w14:paraId="5E35E9C9" w14:textId="25D5354A" w:rsidR="003375C2" w:rsidRPr="006C4896" w:rsidRDefault="003375C2" w:rsidP="006C4896">
      <w:pPr>
        <w:pStyle w:val="ListParagraph"/>
        <w:numPr>
          <w:ilvl w:val="0"/>
          <w:numId w:val="2"/>
        </w:numPr>
        <w:spacing w:line="240" w:lineRule="auto"/>
        <w:ind w:left="450" w:hanging="450"/>
        <w:jc w:val="both"/>
        <w:rPr>
          <w:rFonts w:asciiTheme="majorHAnsi" w:hAnsiTheme="majorHAnsi"/>
          <w:b/>
          <w:bCs/>
          <w:sz w:val="20"/>
          <w:szCs w:val="20"/>
        </w:rPr>
      </w:pPr>
      <w:r w:rsidRPr="006F735F">
        <w:rPr>
          <w:rFonts w:asciiTheme="majorHAnsi" w:hAnsiTheme="majorHAnsi"/>
          <w:b/>
          <w:bCs/>
          <w:sz w:val="20"/>
          <w:szCs w:val="20"/>
        </w:rPr>
        <w:t>RIGHTS OF BUYER’S CUSTOMERS AND REGULATORS TO PERFORM INSPECTION,</w:t>
      </w:r>
      <w:r w:rsidR="006C4896">
        <w:rPr>
          <w:rFonts w:asciiTheme="majorHAnsi" w:hAnsiTheme="majorHAnsi"/>
          <w:b/>
          <w:bCs/>
          <w:sz w:val="20"/>
          <w:szCs w:val="20"/>
        </w:rPr>
        <w:t xml:space="preserve"> </w:t>
      </w:r>
      <w:r w:rsidRPr="006C4896">
        <w:rPr>
          <w:rFonts w:asciiTheme="majorHAnsi" w:hAnsiTheme="majorHAnsi"/>
          <w:b/>
          <w:bCs/>
          <w:sz w:val="20"/>
          <w:szCs w:val="20"/>
        </w:rPr>
        <w:t xml:space="preserve">SURVEILLANCE AND TESTING. </w:t>
      </w:r>
      <w:r w:rsidRPr="006C4896">
        <w:rPr>
          <w:rFonts w:asciiTheme="majorHAnsi" w:hAnsiTheme="majorHAnsi"/>
          <w:sz w:val="20"/>
          <w:szCs w:val="20"/>
        </w:rPr>
        <w:t>Buyer reserves the right to perform inspections, surveillance and tests</w:t>
      </w:r>
      <w:r w:rsidR="001A72CD" w:rsidRPr="006C4896">
        <w:rPr>
          <w:rFonts w:asciiTheme="majorHAnsi" w:hAnsiTheme="majorHAnsi"/>
          <w:sz w:val="20"/>
          <w:szCs w:val="20"/>
        </w:rPr>
        <w:t xml:space="preserve"> </w:t>
      </w:r>
      <w:r w:rsidRPr="006C4896">
        <w:rPr>
          <w:rFonts w:asciiTheme="majorHAnsi" w:hAnsiTheme="majorHAnsi"/>
          <w:sz w:val="20"/>
          <w:szCs w:val="20"/>
        </w:rPr>
        <w:t>and to review procedures, practices, processes and related documents related to quality assurance,</w:t>
      </w:r>
      <w:r w:rsidR="001A72CD" w:rsidRPr="006C4896">
        <w:rPr>
          <w:rFonts w:asciiTheme="majorHAnsi" w:hAnsiTheme="majorHAnsi"/>
          <w:sz w:val="20"/>
          <w:szCs w:val="20"/>
        </w:rPr>
        <w:t xml:space="preserve"> </w:t>
      </w:r>
      <w:r w:rsidRPr="006C4896">
        <w:rPr>
          <w:rFonts w:asciiTheme="majorHAnsi" w:hAnsiTheme="majorHAnsi"/>
          <w:sz w:val="20"/>
          <w:szCs w:val="20"/>
        </w:rPr>
        <w:t>quality control and configuration control and applicable records at any level of the supply chain.</w:t>
      </w:r>
      <w:r w:rsidR="001A72CD" w:rsidRPr="006C4896">
        <w:rPr>
          <w:rFonts w:asciiTheme="majorHAnsi" w:hAnsiTheme="majorHAnsi"/>
          <w:sz w:val="20"/>
          <w:szCs w:val="20"/>
        </w:rPr>
        <w:t xml:space="preserve"> </w:t>
      </w:r>
      <w:r w:rsidRPr="006C4896">
        <w:rPr>
          <w:rFonts w:asciiTheme="majorHAnsi" w:hAnsiTheme="majorHAnsi"/>
          <w:sz w:val="20"/>
          <w:szCs w:val="20"/>
        </w:rPr>
        <w:t>This right shall extend to the customers of Buyer, the United States Government, Federal Aviation</w:t>
      </w:r>
      <w:r w:rsidR="001A72CD" w:rsidRPr="006C4896">
        <w:rPr>
          <w:rFonts w:asciiTheme="majorHAnsi" w:hAnsiTheme="majorHAnsi"/>
          <w:sz w:val="20"/>
          <w:szCs w:val="20"/>
        </w:rPr>
        <w:t xml:space="preserve"> </w:t>
      </w:r>
      <w:r w:rsidRPr="006C4896">
        <w:rPr>
          <w:rFonts w:asciiTheme="majorHAnsi" w:hAnsiTheme="majorHAnsi"/>
          <w:sz w:val="20"/>
          <w:szCs w:val="20"/>
        </w:rPr>
        <w:t>Administration or other regulatory agency. Seller shall cooperate with any Buyer-directed inspection,</w:t>
      </w:r>
      <w:r w:rsidR="001A72CD" w:rsidRPr="006C4896">
        <w:rPr>
          <w:rFonts w:asciiTheme="majorHAnsi" w:hAnsiTheme="majorHAnsi"/>
          <w:sz w:val="20"/>
          <w:szCs w:val="20"/>
        </w:rPr>
        <w:t xml:space="preserve"> </w:t>
      </w:r>
      <w:r w:rsidRPr="006C4896">
        <w:rPr>
          <w:rFonts w:asciiTheme="majorHAnsi" w:hAnsiTheme="majorHAnsi"/>
          <w:sz w:val="20"/>
          <w:szCs w:val="20"/>
        </w:rPr>
        <w:t>surveillance, test or review.</w:t>
      </w:r>
    </w:p>
    <w:p w14:paraId="18CFF77B" w14:textId="52BCE9C8" w:rsidR="003375C2"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LIMITED </w:t>
      </w:r>
      <w:proofErr w:type="gramStart"/>
      <w:r w:rsidRPr="006F735F">
        <w:rPr>
          <w:rFonts w:asciiTheme="majorHAnsi" w:hAnsiTheme="majorHAnsi"/>
          <w:b/>
          <w:bCs/>
          <w:sz w:val="20"/>
          <w:szCs w:val="20"/>
        </w:rPr>
        <w:t>SHELF LIFE</w:t>
      </w:r>
      <w:proofErr w:type="gramEnd"/>
      <w:r w:rsidRPr="006F735F">
        <w:rPr>
          <w:rFonts w:asciiTheme="majorHAnsi" w:hAnsiTheme="majorHAnsi"/>
          <w:b/>
          <w:bCs/>
          <w:sz w:val="20"/>
          <w:szCs w:val="20"/>
        </w:rPr>
        <w:t xml:space="preserve"> MATERIAL</w:t>
      </w:r>
      <w:r w:rsidR="00A04FC4">
        <w:rPr>
          <w:rFonts w:asciiTheme="majorHAnsi" w:hAnsiTheme="majorHAnsi"/>
          <w:b/>
          <w:bCs/>
          <w:sz w:val="20"/>
          <w:szCs w:val="20"/>
        </w:rPr>
        <w:t>.</w:t>
      </w:r>
      <w:r w:rsidRPr="006F735F">
        <w:rPr>
          <w:rFonts w:asciiTheme="majorHAnsi" w:hAnsiTheme="majorHAnsi"/>
          <w:b/>
          <w:bCs/>
          <w:sz w:val="20"/>
          <w:szCs w:val="20"/>
        </w:rPr>
        <w:t xml:space="preserve"> </w:t>
      </w:r>
      <w:r w:rsidRPr="006F735F">
        <w:rPr>
          <w:rFonts w:asciiTheme="majorHAnsi" w:hAnsiTheme="majorHAnsi"/>
          <w:sz w:val="20"/>
          <w:szCs w:val="20"/>
        </w:rPr>
        <w:t xml:space="preserve">Limited </w:t>
      </w:r>
      <w:r w:rsidR="000C2CC1" w:rsidRPr="006F735F">
        <w:rPr>
          <w:rFonts w:asciiTheme="majorHAnsi" w:hAnsiTheme="majorHAnsi"/>
          <w:sz w:val="20"/>
          <w:szCs w:val="20"/>
        </w:rPr>
        <w:t>shelf-life</w:t>
      </w:r>
      <w:r w:rsidRPr="006F735F">
        <w:rPr>
          <w:rFonts w:asciiTheme="majorHAnsi" w:hAnsiTheme="majorHAnsi"/>
          <w:sz w:val="20"/>
          <w:szCs w:val="20"/>
        </w:rPr>
        <w:t xml:space="preserve"> Goods shall be clearly identified with a </w:t>
      </w:r>
      <w:r w:rsidR="000C2CC1" w:rsidRPr="006F735F">
        <w:rPr>
          <w:rFonts w:asciiTheme="majorHAnsi" w:hAnsiTheme="majorHAnsi"/>
          <w:sz w:val="20"/>
          <w:szCs w:val="20"/>
        </w:rPr>
        <w:t>shelf-life</w:t>
      </w:r>
      <w:r w:rsidR="001A72CD" w:rsidRPr="006F735F">
        <w:rPr>
          <w:rFonts w:asciiTheme="majorHAnsi" w:hAnsiTheme="majorHAnsi"/>
          <w:sz w:val="20"/>
          <w:szCs w:val="20"/>
        </w:rPr>
        <w:t xml:space="preserve"> </w:t>
      </w:r>
      <w:r w:rsidRPr="006F735F">
        <w:rPr>
          <w:rFonts w:asciiTheme="majorHAnsi" w:hAnsiTheme="majorHAnsi"/>
          <w:sz w:val="20"/>
          <w:szCs w:val="20"/>
        </w:rPr>
        <w:t>expiration date. Goods with a limited shelf life shall be delivered with a minimum of 75</w:t>
      </w:r>
      <w:r w:rsidR="000C2CC1" w:rsidRPr="006F735F">
        <w:rPr>
          <w:rFonts w:asciiTheme="majorHAnsi" w:hAnsiTheme="majorHAnsi"/>
          <w:sz w:val="20"/>
          <w:szCs w:val="20"/>
        </w:rPr>
        <w:t>%</w:t>
      </w:r>
      <w:r w:rsidRPr="006F735F">
        <w:rPr>
          <w:rFonts w:asciiTheme="majorHAnsi" w:hAnsiTheme="majorHAnsi"/>
          <w:sz w:val="20"/>
          <w:szCs w:val="20"/>
        </w:rPr>
        <w:t xml:space="preserve"> </w:t>
      </w:r>
      <w:r w:rsidR="000C2CC1">
        <w:rPr>
          <w:rFonts w:asciiTheme="majorHAnsi" w:hAnsiTheme="majorHAnsi"/>
          <w:sz w:val="20"/>
          <w:szCs w:val="20"/>
        </w:rPr>
        <w:t xml:space="preserve">of </w:t>
      </w:r>
      <w:r w:rsidRPr="006F735F">
        <w:rPr>
          <w:rFonts w:asciiTheme="majorHAnsi" w:hAnsiTheme="majorHAnsi"/>
          <w:sz w:val="20"/>
          <w:szCs w:val="20"/>
        </w:rPr>
        <w:t>available</w:t>
      </w:r>
      <w:r w:rsidR="001A72CD" w:rsidRPr="006F735F">
        <w:rPr>
          <w:rFonts w:asciiTheme="majorHAnsi" w:hAnsiTheme="majorHAnsi"/>
          <w:sz w:val="20"/>
          <w:szCs w:val="20"/>
        </w:rPr>
        <w:t xml:space="preserve"> </w:t>
      </w:r>
      <w:r w:rsidRPr="006F735F">
        <w:rPr>
          <w:rFonts w:asciiTheme="majorHAnsi" w:hAnsiTheme="majorHAnsi"/>
          <w:sz w:val="20"/>
          <w:szCs w:val="20"/>
        </w:rPr>
        <w:t>shelf</w:t>
      </w:r>
      <w:r w:rsidR="000C2CC1">
        <w:rPr>
          <w:rFonts w:asciiTheme="majorHAnsi" w:hAnsiTheme="majorHAnsi"/>
          <w:sz w:val="20"/>
          <w:szCs w:val="20"/>
        </w:rPr>
        <w:t>-</w:t>
      </w:r>
      <w:r w:rsidRPr="006F735F">
        <w:rPr>
          <w:rFonts w:asciiTheme="majorHAnsi" w:hAnsiTheme="majorHAnsi"/>
          <w:sz w:val="20"/>
          <w:szCs w:val="20"/>
        </w:rPr>
        <w:t xml:space="preserve">life remaining. Limited </w:t>
      </w:r>
      <w:r w:rsidR="000C2CC1" w:rsidRPr="006F735F">
        <w:rPr>
          <w:rFonts w:asciiTheme="majorHAnsi" w:hAnsiTheme="majorHAnsi"/>
          <w:sz w:val="20"/>
          <w:szCs w:val="20"/>
        </w:rPr>
        <w:t>shelf-life</w:t>
      </w:r>
      <w:r w:rsidRPr="006F735F">
        <w:rPr>
          <w:rFonts w:asciiTheme="majorHAnsi" w:hAnsiTheme="majorHAnsi"/>
          <w:sz w:val="20"/>
          <w:szCs w:val="20"/>
        </w:rPr>
        <w:t xml:space="preserve"> Goods delivered in multiple quantities shall be from the same batch</w:t>
      </w:r>
      <w:r w:rsidR="001A72CD" w:rsidRPr="006F735F">
        <w:rPr>
          <w:rFonts w:asciiTheme="majorHAnsi" w:hAnsiTheme="majorHAnsi"/>
          <w:sz w:val="20"/>
          <w:szCs w:val="20"/>
        </w:rPr>
        <w:t xml:space="preserve"> </w:t>
      </w:r>
      <w:r w:rsidRPr="006F735F">
        <w:rPr>
          <w:rFonts w:asciiTheme="majorHAnsi" w:hAnsiTheme="majorHAnsi"/>
          <w:sz w:val="20"/>
          <w:szCs w:val="20"/>
        </w:rPr>
        <w:t>or lot and have the same expiration date.</w:t>
      </w:r>
    </w:p>
    <w:p w14:paraId="65016EEF" w14:textId="1E092895" w:rsidR="000C2CC1" w:rsidRDefault="000C2CC1" w:rsidP="00023AE9">
      <w:pPr>
        <w:pStyle w:val="ListParagraph"/>
        <w:numPr>
          <w:ilvl w:val="0"/>
          <w:numId w:val="2"/>
        </w:numPr>
        <w:spacing w:line="240" w:lineRule="auto"/>
        <w:ind w:left="450" w:hanging="450"/>
        <w:jc w:val="both"/>
        <w:rPr>
          <w:rFonts w:asciiTheme="majorHAnsi" w:hAnsiTheme="majorHAnsi"/>
          <w:sz w:val="20"/>
          <w:szCs w:val="20"/>
        </w:rPr>
      </w:pPr>
      <w:r>
        <w:rPr>
          <w:rFonts w:asciiTheme="majorHAnsi" w:hAnsiTheme="majorHAnsi"/>
          <w:b/>
          <w:bCs/>
          <w:sz w:val="20"/>
          <w:szCs w:val="20"/>
        </w:rPr>
        <w:t>SAFETY DATA SHEETS</w:t>
      </w:r>
      <w:r w:rsidR="00A04FC4">
        <w:rPr>
          <w:rFonts w:asciiTheme="majorHAnsi" w:hAnsiTheme="majorHAnsi"/>
          <w:b/>
          <w:bCs/>
          <w:sz w:val="20"/>
          <w:szCs w:val="20"/>
        </w:rPr>
        <w:t>.</w:t>
      </w:r>
      <w:r>
        <w:rPr>
          <w:rFonts w:asciiTheme="majorHAnsi" w:hAnsiTheme="majorHAnsi"/>
          <w:sz w:val="20"/>
          <w:szCs w:val="20"/>
        </w:rPr>
        <w:t xml:space="preserve"> When appropriate, current, OSHA compliant Safety Data Sheets shall be provided with the delivery of raw materials or chemicals.</w:t>
      </w:r>
    </w:p>
    <w:p w14:paraId="7539CE5C" w14:textId="6DD5BCD4" w:rsidR="00E95DA6" w:rsidRPr="00087F9B" w:rsidRDefault="00E95DA6" w:rsidP="00E95DA6">
      <w:pPr>
        <w:pStyle w:val="sfalevel1"/>
        <w:numPr>
          <w:ilvl w:val="0"/>
          <w:numId w:val="2"/>
        </w:numPr>
        <w:spacing w:before="0" w:line="240" w:lineRule="auto"/>
        <w:jc w:val="both"/>
        <w:rPr>
          <w:rFonts w:asciiTheme="majorHAnsi" w:hAnsiTheme="majorHAnsi"/>
          <w:sz w:val="20"/>
          <w:szCs w:val="20"/>
        </w:rPr>
      </w:pPr>
      <w:bookmarkStart w:id="0" w:name="a567188"/>
      <w:r w:rsidRPr="00087F9B">
        <w:rPr>
          <w:rFonts w:asciiTheme="majorHAnsi" w:hAnsiTheme="majorHAnsi"/>
          <w:b/>
          <w:bCs/>
          <w:sz w:val="20"/>
          <w:szCs w:val="20"/>
        </w:rPr>
        <w:t>Termination for Cause</w:t>
      </w:r>
      <w:r w:rsidRPr="00087F9B">
        <w:rPr>
          <w:rFonts w:asciiTheme="majorHAnsi" w:hAnsiTheme="majorHAnsi"/>
          <w:sz w:val="20"/>
          <w:szCs w:val="20"/>
        </w:rPr>
        <w:t xml:space="preserve">. In addition to any remedies that may be provided under these Terms, Buyer may terminate this Agreement with immediate effect upon written notice to the Seller, either before or after the acceptance of the Goods, if Seller has not performed or complied with any of these Terms, in whole or in part. If the Seller becomes insolvent, files a petition for bankruptcy or commences or has commenced against </w:t>
      </w:r>
      <w:proofErr w:type="gramStart"/>
      <w:r w:rsidRPr="00087F9B">
        <w:rPr>
          <w:rFonts w:asciiTheme="majorHAnsi" w:hAnsiTheme="majorHAnsi"/>
          <w:sz w:val="20"/>
          <w:szCs w:val="20"/>
        </w:rPr>
        <w:t>it</w:t>
      </w:r>
      <w:proofErr w:type="gramEnd"/>
      <w:r w:rsidRPr="00087F9B">
        <w:rPr>
          <w:rFonts w:asciiTheme="majorHAnsi" w:hAnsiTheme="majorHAnsi"/>
          <w:sz w:val="20"/>
          <w:szCs w:val="20"/>
        </w:rPr>
        <w:t xml:space="preserve"> proceedings relating to bankruptcy, receivership, reorganization or assignment for the benefit of creditors, then the Buyer may terminate this Agreement upon written notice to Seller. If Buyer terminates the Agreement under this Section 1</w:t>
      </w:r>
      <w:r w:rsidR="00D939B7" w:rsidRPr="00087F9B">
        <w:rPr>
          <w:rFonts w:asciiTheme="majorHAnsi" w:hAnsiTheme="majorHAnsi"/>
          <w:sz w:val="20"/>
          <w:szCs w:val="20"/>
        </w:rPr>
        <w:t>7</w:t>
      </w:r>
      <w:r w:rsidRPr="00087F9B">
        <w:rPr>
          <w:rFonts w:asciiTheme="majorHAnsi" w:hAnsiTheme="majorHAnsi"/>
          <w:sz w:val="20"/>
          <w:szCs w:val="20"/>
        </w:rPr>
        <w:t>, Seller’s sole and exclusive remedy is payment for the Goods received and accepted by Buyer prior to the termination.</w:t>
      </w:r>
      <w:bookmarkEnd w:id="0"/>
    </w:p>
    <w:p w14:paraId="7DB312B7" w14:textId="155563F0" w:rsidR="00861C49" w:rsidRPr="004D26A0" w:rsidRDefault="002B4435" w:rsidP="00087F9B">
      <w:pPr>
        <w:pStyle w:val="sfalevel1"/>
        <w:numPr>
          <w:ilvl w:val="0"/>
          <w:numId w:val="2"/>
        </w:numPr>
        <w:spacing w:before="0" w:line="240" w:lineRule="auto"/>
        <w:ind w:left="450"/>
        <w:jc w:val="both"/>
        <w:rPr>
          <w:rFonts w:asciiTheme="majorHAnsi" w:hAnsiTheme="majorHAnsi"/>
          <w:sz w:val="20"/>
          <w:szCs w:val="20"/>
        </w:rPr>
      </w:pPr>
      <w:r w:rsidRPr="00087F9B">
        <w:rPr>
          <w:rFonts w:asciiTheme="majorHAnsi" w:hAnsiTheme="majorHAnsi"/>
          <w:b/>
          <w:bCs/>
          <w:sz w:val="20"/>
          <w:szCs w:val="20"/>
        </w:rPr>
        <w:t>Termination Without Cause</w:t>
      </w:r>
      <w:r w:rsidRPr="00087F9B">
        <w:rPr>
          <w:rFonts w:asciiTheme="majorHAnsi" w:hAnsiTheme="majorHAnsi"/>
          <w:sz w:val="20"/>
          <w:szCs w:val="20"/>
        </w:rPr>
        <w:t>. Buyer may terminate the Agreement in whole or in part without cause, by written notice to Seller.  In that event, Buyer shall reimburse Seller as provided in Section 1</w:t>
      </w:r>
      <w:r w:rsidR="00D939B7" w:rsidRPr="00087F9B">
        <w:rPr>
          <w:rFonts w:asciiTheme="majorHAnsi" w:hAnsiTheme="majorHAnsi"/>
          <w:sz w:val="20"/>
          <w:szCs w:val="20"/>
        </w:rPr>
        <w:t>7</w:t>
      </w:r>
      <w:r w:rsidRPr="00087F9B">
        <w:rPr>
          <w:rFonts w:asciiTheme="majorHAnsi" w:hAnsiTheme="majorHAnsi"/>
          <w:sz w:val="20"/>
          <w:szCs w:val="20"/>
        </w:rPr>
        <w:t>, plus Seller’s cost in producing and purchasing work-in-process Goods as of the date of notice of termination, contingent upon Seller’s delivery of such work-in-process to Buyer.  If Buyer is determined not to have cause to terminate the Agreement pursuant to Section 1</w:t>
      </w:r>
      <w:r w:rsidR="00874CAB">
        <w:rPr>
          <w:rFonts w:asciiTheme="majorHAnsi" w:hAnsiTheme="majorHAnsi"/>
          <w:sz w:val="20"/>
          <w:szCs w:val="20"/>
        </w:rPr>
        <w:t>7</w:t>
      </w:r>
      <w:r w:rsidRPr="00087F9B">
        <w:rPr>
          <w:rFonts w:asciiTheme="majorHAnsi" w:hAnsiTheme="majorHAnsi"/>
          <w:sz w:val="20"/>
          <w:szCs w:val="20"/>
        </w:rPr>
        <w:t>, it shall be deemed a termination without cause pursuant to this Section 1</w:t>
      </w:r>
      <w:r w:rsidR="00874CAB">
        <w:rPr>
          <w:rFonts w:asciiTheme="majorHAnsi" w:hAnsiTheme="majorHAnsi"/>
          <w:sz w:val="20"/>
          <w:szCs w:val="20"/>
        </w:rPr>
        <w:t>8</w:t>
      </w:r>
      <w:r w:rsidRPr="00087F9B">
        <w:rPr>
          <w:rFonts w:asciiTheme="majorHAnsi" w:hAnsiTheme="majorHAnsi"/>
          <w:sz w:val="20"/>
          <w:szCs w:val="20"/>
        </w:rPr>
        <w:t>.</w:t>
      </w:r>
    </w:p>
    <w:p w14:paraId="5D5E06FE" w14:textId="77777777" w:rsidR="00E861C6" w:rsidRPr="00087F9B" w:rsidRDefault="00E861C6" w:rsidP="00E861C6">
      <w:pPr>
        <w:pStyle w:val="sfalevel1"/>
        <w:numPr>
          <w:ilvl w:val="0"/>
          <w:numId w:val="2"/>
        </w:numPr>
        <w:spacing w:before="0" w:line="240" w:lineRule="auto"/>
        <w:jc w:val="both"/>
        <w:rPr>
          <w:rFonts w:asciiTheme="majorHAnsi" w:hAnsiTheme="majorHAnsi"/>
          <w:sz w:val="20"/>
          <w:szCs w:val="20"/>
        </w:rPr>
      </w:pPr>
      <w:bookmarkStart w:id="1" w:name="a860766"/>
      <w:r w:rsidRPr="00087F9B">
        <w:rPr>
          <w:rFonts w:asciiTheme="majorHAnsi" w:hAnsiTheme="majorHAnsi"/>
          <w:b/>
          <w:bCs/>
          <w:sz w:val="20"/>
          <w:szCs w:val="20"/>
        </w:rPr>
        <w:t>Force Majeure</w:t>
      </w:r>
      <w:r w:rsidRPr="00087F9B">
        <w:rPr>
          <w:rFonts w:asciiTheme="majorHAnsi" w:hAnsiTheme="majorHAnsi"/>
          <w:sz w:val="20"/>
          <w:szCs w:val="20"/>
        </w:rPr>
        <w:t>. Neither party shall be liable to the other for any delay or failure in performing its obligations under this Agreement to the extent that such delay or failure is caused by an event or circumstance that is beyond the reasonable control of that party, without such party’s fault or negligence, and which by its nature could not have been foreseen by such party or, if it could have been foreseen, was unavoidable (“</w:t>
      </w:r>
      <w:r w:rsidRPr="00087F9B">
        <w:rPr>
          <w:rStyle w:val="Defterm"/>
          <w:rFonts w:asciiTheme="majorHAnsi" w:hAnsiTheme="majorHAnsi"/>
          <w:b w:val="0"/>
          <w:bCs/>
          <w:sz w:val="20"/>
          <w:szCs w:val="20"/>
          <w:u w:val="single"/>
        </w:rPr>
        <w:t>Force Majeure Event</w:t>
      </w:r>
      <w:r w:rsidRPr="00087F9B">
        <w:rPr>
          <w:rFonts w:asciiTheme="majorHAnsi" w:hAnsiTheme="majorHAnsi"/>
          <w:sz w:val="20"/>
          <w:szCs w:val="20"/>
        </w:rPr>
        <w:t>”). Force Majeure Events include, but are not limited to, acts of God or the public enemy, government restrictions, floods, fires, earthquakes, explosions, epidemics, governmental actions, war, invasion or hostilities (whether war is declared or not), terrorist threats or acts, riots, or other civil unrest. Seller’s economic hardship or changes in market conditions, including but not limited to tariffs, are not considered Force Majeure Events. Seller shall use all diligent efforts to end the failure or delay of its performance, ensure that the effects of any Force Majeure Event are minimized and resume performance under this Agreement. If a Force Majeure Event prevents Seller from carrying out its obligations under this Agreement for a continuous period of more than fifteen (15) business days, Buyer may terminate this Agreement immediately by giving written notice to Seller.</w:t>
      </w:r>
      <w:bookmarkEnd w:id="1"/>
    </w:p>
    <w:p w14:paraId="5B735B9C" w14:textId="3011601A" w:rsidR="00E861C6" w:rsidRPr="00087F9B" w:rsidRDefault="001A3282" w:rsidP="006C4896">
      <w:pPr>
        <w:pStyle w:val="ListParagraph"/>
        <w:numPr>
          <w:ilvl w:val="0"/>
          <w:numId w:val="2"/>
        </w:numPr>
        <w:spacing w:line="240" w:lineRule="auto"/>
        <w:ind w:left="450" w:hanging="450"/>
        <w:jc w:val="both"/>
        <w:rPr>
          <w:rFonts w:asciiTheme="majorHAnsi" w:hAnsiTheme="majorHAnsi"/>
          <w:sz w:val="20"/>
          <w:szCs w:val="20"/>
        </w:rPr>
      </w:pPr>
      <w:r w:rsidRPr="00087F9B">
        <w:rPr>
          <w:rFonts w:asciiTheme="majorHAnsi" w:hAnsiTheme="majorHAnsi"/>
          <w:b/>
          <w:bCs/>
          <w:sz w:val="20"/>
          <w:szCs w:val="20"/>
        </w:rPr>
        <w:lastRenderedPageBreak/>
        <w:t>Intellectual Property Rights</w:t>
      </w:r>
      <w:r w:rsidRPr="00087F9B">
        <w:rPr>
          <w:rFonts w:asciiTheme="majorHAnsi" w:hAnsiTheme="majorHAnsi"/>
          <w:sz w:val="20"/>
          <w:szCs w:val="20"/>
        </w:rPr>
        <w:t xml:space="preserve">.  Except as set forth herein, each party shall retain </w:t>
      </w:r>
      <w:proofErr w:type="gramStart"/>
      <w:r w:rsidRPr="00087F9B">
        <w:rPr>
          <w:rFonts w:asciiTheme="majorHAnsi" w:hAnsiTheme="majorHAnsi"/>
          <w:sz w:val="20"/>
          <w:szCs w:val="20"/>
        </w:rPr>
        <w:t>any and all</w:t>
      </w:r>
      <w:proofErr w:type="gramEnd"/>
      <w:r w:rsidRPr="00087F9B">
        <w:rPr>
          <w:rFonts w:asciiTheme="majorHAnsi" w:hAnsiTheme="majorHAnsi"/>
          <w:sz w:val="20"/>
          <w:szCs w:val="20"/>
        </w:rPr>
        <w:t xml:space="preserve"> intellectual property (“</w:t>
      </w:r>
      <w:r w:rsidRPr="00087F9B">
        <w:rPr>
          <w:rFonts w:asciiTheme="majorHAnsi" w:hAnsiTheme="majorHAnsi"/>
          <w:sz w:val="20"/>
          <w:szCs w:val="20"/>
          <w:u w:val="single"/>
        </w:rPr>
        <w:t>IP</w:t>
      </w:r>
      <w:r w:rsidRPr="00087F9B">
        <w:rPr>
          <w:rFonts w:asciiTheme="majorHAnsi" w:hAnsiTheme="majorHAnsi"/>
          <w:sz w:val="20"/>
          <w:szCs w:val="20"/>
        </w:rPr>
        <w:t>”), including but not limited to patents, trademarks, copyrights, and trade secrets, existing prior to the date of the Purchase Order (“</w:t>
      </w:r>
      <w:r w:rsidRPr="00087F9B">
        <w:rPr>
          <w:rFonts w:asciiTheme="majorHAnsi" w:hAnsiTheme="majorHAnsi"/>
          <w:sz w:val="20"/>
          <w:szCs w:val="20"/>
          <w:u w:val="single"/>
        </w:rPr>
        <w:t>Existing IP</w:t>
      </w:r>
      <w:r w:rsidRPr="00087F9B">
        <w:rPr>
          <w:rFonts w:asciiTheme="majorHAnsi" w:hAnsiTheme="majorHAnsi"/>
          <w:sz w:val="20"/>
          <w:szCs w:val="20"/>
        </w:rPr>
        <w:t xml:space="preserve">”).  Any IP developed </w:t>
      </w:r>
      <w:r w:rsidR="00A31332" w:rsidRPr="00087F9B">
        <w:rPr>
          <w:rFonts w:asciiTheme="majorHAnsi" w:hAnsiTheme="majorHAnsi"/>
          <w:sz w:val="20"/>
          <w:szCs w:val="20"/>
        </w:rPr>
        <w:t>under this Agreement</w:t>
      </w:r>
      <w:r w:rsidRPr="00087F9B">
        <w:rPr>
          <w:rFonts w:asciiTheme="majorHAnsi" w:hAnsiTheme="majorHAnsi"/>
          <w:sz w:val="20"/>
          <w:szCs w:val="20"/>
        </w:rPr>
        <w:t xml:space="preserve"> </w:t>
      </w:r>
      <w:r w:rsidR="002C4043" w:rsidRPr="00087F9B">
        <w:rPr>
          <w:rFonts w:asciiTheme="majorHAnsi" w:hAnsiTheme="majorHAnsi"/>
          <w:sz w:val="20"/>
          <w:szCs w:val="20"/>
        </w:rPr>
        <w:t xml:space="preserve">and funded by the Buyer </w:t>
      </w:r>
      <w:r w:rsidRPr="00087F9B">
        <w:rPr>
          <w:rFonts w:asciiTheme="majorHAnsi" w:hAnsiTheme="majorHAnsi"/>
          <w:sz w:val="20"/>
          <w:szCs w:val="20"/>
        </w:rPr>
        <w:t>in connection with its performance under the Agreement, including any improvements or modifications to the Seller IP, shall be deemed to be the property of Buyer (“</w:t>
      </w:r>
      <w:r w:rsidRPr="00087F9B">
        <w:rPr>
          <w:rFonts w:asciiTheme="majorHAnsi" w:hAnsiTheme="majorHAnsi"/>
          <w:sz w:val="20"/>
          <w:szCs w:val="20"/>
          <w:u w:val="single"/>
        </w:rPr>
        <w:t>Contract IP</w:t>
      </w:r>
      <w:r w:rsidRPr="00087F9B">
        <w:rPr>
          <w:rFonts w:asciiTheme="majorHAnsi" w:hAnsiTheme="majorHAnsi"/>
          <w:sz w:val="20"/>
          <w:szCs w:val="20"/>
        </w:rPr>
        <w:t>”)</w:t>
      </w:r>
      <w:r w:rsidR="00A31332" w:rsidRPr="00A31332">
        <w:rPr>
          <w:rFonts w:asciiTheme="majorHAnsi" w:hAnsiTheme="majorHAnsi"/>
          <w:sz w:val="20"/>
          <w:szCs w:val="20"/>
        </w:rPr>
        <w:t>.</w:t>
      </w:r>
      <w:r w:rsidR="00A31332">
        <w:rPr>
          <w:rFonts w:asciiTheme="majorHAnsi" w:hAnsiTheme="majorHAnsi"/>
          <w:sz w:val="20"/>
          <w:szCs w:val="20"/>
        </w:rPr>
        <w:t xml:space="preserve"> </w:t>
      </w:r>
      <w:r w:rsidRPr="00087F9B">
        <w:rPr>
          <w:rFonts w:asciiTheme="majorHAnsi" w:hAnsiTheme="majorHAnsi"/>
          <w:sz w:val="20"/>
          <w:szCs w:val="20"/>
        </w:rPr>
        <w:t>Seller additionally grants Buyer a royalty-free, perpetual, assignable license to use the Seller Existing IP to the extent necessary to exploit the Contract IP.  Seller agrees to cooperate with Buyer in Buyer pursuing any type certification for any of the Goods with the FAA and any other applicable government airworthiness agencies (“</w:t>
      </w:r>
      <w:r w:rsidRPr="00087F9B">
        <w:rPr>
          <w:rFonts w:asciiTheme="majorHAnsi" w:hAnsiTheme="majorHAnsi"/>
          <w:sz w:val="20"/>
          <w:szCs w:val="20"/>
          <w:u w:val="single"/>
        </w:rPr>
        <w:t>Certification</w:t>
      </w:r>
      <w:r w:rsidRPr="00087F9B">
        <w:rPr>
          <w:rFonts w:asciiTheme="majorHAnsi" w:hAnsiTheme="majorHAnsi"/>
          <w:sz w:val="20"/>
          <w:szCs w:val="20"/>
        </w:rPr>
        <w:t>”), and Seller covenants that it will not, without the written consent of Buyer, apply for or otherwise pursue any Certification.</w:t>
      </w:r>
    </w:p>
    <w:p w14:paraId="438273EA" w14:textId="469E701B" w:rsidR="003375C2" w:rsidRPr="00894FA0" w:rsidRDefault="008C6929" w:rsidP="006C4896">
      <w:pPr>
        <w:pStyle w:val="ListParagraph"/>
        <w:numPr>
          <w:ilvl w:val="0"/>
          <w:numId w:val="2"/>
        </w:numPr>
        <w:spacing w:line="240" w:lineRule="auto"/>
        <w:ind w:left="450" w:hanging="450"/>
        <w:jc w:val="both"/>
        <w:rPr>
          <w:rFonts w:asciiTheme="majorHAnsi" w:hAnsiTheme="majorHAnsi"/>
          <w:sz w:val="20"/>
          <w:szCs w:val="20"/>
        </w:rPr>
      </w:pPr>
      <w:r>
        <w:rPr>
          <w:rFonts w:asciiTheme="majorHAnsi" w:hAnsiTheme="majorHAnsi"/>
          <w:b/>
          <w:bCs/>
          <w:sz w:val="20"/>
          <w:szCs w:val="20"/>
        </w:rPr>
        <w:t xml:space="preserve">BUYER </w:t>
      </w:r>
      <w:r w:rsidR="003375C2" w:rsidRPr="006F735F">
        <w:rPr>
          <w:rFonts w:asciiTheme="majorHAnsi" w:hAnsiTheme="majorHAnsi"/>
          <w:b/>
          <w:bCs/>
          <w:sz w:val="20"/>
          <w:szCs w:val="20"/>
        </w:rPr>
        <w:t xml:space="preserve">CONFIDENTIAL, PROPRIETARY AND TRADE SECRET INFORMATION AND MATERIALS. </w:t>
      </w:r>
      <w:r w:rsidR="003375C2" w:rsidRPr="006F735F">
        <w:rPr>
          <w:rFonts w:asciiTheme="majorHAnsi" w:hAnsiTheme="majorHAnsi"/>
          <w:sz w:val="20"/>
          <w:szCs w:val="20"/>
        </w:rPr>
        <w:t>If</w:t>
      </w:r>
      <w:r w:rsidR="006C4896">
        <w:rPr>
          <w:rFonts w:asciiTheme="majorHAnsi" w:hAnsiTheme="majorHAnsi"/>
          <w:sz w:val="20"/>
          <w:szCs w:val="20"/>
        </w:rPr>
        <w:t xml:space="preserve"> </w:t>
      </w:r>
      <w:r w:rsidR="003375C2" w:rsidRPr="006C4896">
        <w:rPr>
          <w:rFonts w:asciiTheme="majorHAnsi" w:hAnsiTheme="majorHAnsi"/>
          <w:sz w:val="20"/>
          <w:szCs w:val="20"/>
        </w:rPr>
        <w:t>Goods are manufactured with reference to Buyer's proprietary information or materials, Seller agrees</w:t>
      </w:r>
      <w:r w:rsidR="001A72CD" w:rsidRPr="006C4896">
        <w:rPr>
          <w:rFonts w:asciiTheme="majorHAnsi" w:hAnsiTheme="majorHAnsi"/>
          <w:sz w:val="20"/>
          <w:szCs w:val="20"/>
        </w:rPr>
        <w:t xml:space="preserve"> </w:t>
      </w:r>
      <w:r w:rsidR="003375C2" w:rsidRPr="006C4896">
        <w:rPr>
          <w:rFonts w:asciiTheme="majorHAnsi" w:hAnsiTheme="majorHAnsi"/>
          <w:sz w:val="20"/>
          <w:szCs w:val="20"/>
        </w:rPr>
        <w:t>that it will not sell or offer such Goods for sale to anyone other than Buyer without Buyer's prior</w:t>
      </w:r>
      <w:r w:rsidR="001A72CD" w:rsidRPr="006C4896">
        <w:rPr>
          <w:rFonts w:asciiTheme="majorHAnsi" w:hAnsiTheme="majorHAnsi"/>
          <w:sz w:val="20"/>
          <w:szCs w:val="20"/>
        </w:rPr>
        <w:t xml:space="preserve"> </w:t>
      </w:r>
      <w:r w:rsidR="003375C2" w:rsidRPr="006C4896">
        <w:rPr>
          <w:rFonts w:asciiTheme="majorHAnsi" w:hAnsiTheme="majorHAnsi"/>
          <w:sz w:val="20"/>
          <w:szCs w:val="20"/>
        </w:rPr>
        <w:t>written consent. Seller shall each keep confidential and protect from unauthorized use and disclosure all</w:t>
      </w:r>
      <w:r w:rsidR="001A72CD" w:rsidRPr="006C4896">
        <w:rPr>
          <w:rFonts w:asciiTheme="majorHAnsi" w:hAnsiTheme="majorHAnsi"/>
          <w:sz w:val="20"/>
          <w:szCs w:val="20"/>
        </w:rPr>
        <w:t xml:space="preserve"> </w:t>
      </w:r>
      <w:r w:rsidR="003375C2" w:rsidRPr="006C4896">
        <w:rPr>
          <w:rFonts w:asciiTheme="majorHAnsi" w:hAnsiTheme="majorHAnsi"/>
          <w:sz w:val="20"/>
          <w:szCs w:val="20"/>
        </w:rPr>
        <w:t>(a) confidential, proprietary and/or trade secret information; (b) tangible items containing, conveying or</w:t>
      </w:r>
      <w:r w:rsidR="00A44FE1" w:rsidRPr="006C4896">
        <w:rPr>
          <w:rFonts w:asciiTheme="majorHAnsi" w:hAnsiTheme="majorHAnsi"/>
          <w:sz w:val="20"/>
          <w:szCs w:val="20"/>
        </w:rPr>
        <w:t xml:space="preserve"> </w:t>
      </w:r>
      <w:r w:rsidR="003375C2" w:rsidRPr="006C4896">
        <w:rPr>
          <w:rFonts w:asciiTheme="majorHAnsi" w:hAnsiTheme="majorHAnsi"/>
          <w:sz w:val="20"/>
          <w:szCs w:val="20"/>
        </w:rPr>
        <w:t>embodying such information; and (c) tooling identified as being subject to this clause</w:t>
      </w:r>
      <w:r w:rsidR="00E97589">
        <w:rPr>
          <w:rFonts w:ascii="Calibri" w:hAnsi="Calibri"/>
          <w:sz w:val="19"/>
          <w:szCs w:val="19"/>
        </w:rPr>
        <w:t>,</w:t>
      </w:r>
      <w:r w:rsidR="00E97589" w:rsidRPr="009C24B0">
        <w:rPr>
          <w:rFonts w:ascii="Calibri" w:hAnsi="Calibri"/>
          <w:sz w:val="19"/>
          <w:szCs w:val="19"/>
        </w:rPr>
        <w:t xml:space="preserve"> </w:t>
      </w:r>
      <w:r w:rsidR="003061CE" w:rsidRPr="00087F9B">
        <w:rPr>
          <w:rFonts w:asciiTheme="majorHAnsi" w:hAnsiTheme="majorHAnsi"/>
          <w:sz w:val="20"/>
          <w:szCs w:val="20"/>
        </w:rPr>
        <w:t>All confidential or proprietary information of Buyer</w:t>
      </w:r>
      <w:r w:rsidR="00976261" w:rsidRPr="00087F9B">
        <w:rPr>
          <w:rFonts w:asciiTheme="majorHAnsi" w:hAnsiTheme="majorHAnsi"/>
          <w:sz w:val="20"/>
          <w:szCs w:val="20"/>
        </w:rPr>
        <w:t xml:space="preserve"> shall be used </w:t>
      </w:r>
      <w:r w:rsidR="00E97589" w:rsidRPr="00087F9B">
        <w:rPr>
          <w:rFonts w:asciiTheme="majorHAnsi" w:hAnsiTheme="majorHAnsi"/>
          <w:sz w:val="20"/>
          <w:szCs w:val="20"/>
        </w:rPr>
        <w:t>solely for the purpose of performing this Agreement and may not be disclosed or copied unless authorized in advance by Buyer in writing</w:t>
      </w:r>
      <w:r w:rsidR="003375C2" w:rsidRPr="00894FA0">
        <w:rPr>
          <w:rFonts w:asciiTheme="majorHAnsi" w:hAnsiTheme="majorHAnsi"/>
          <w:sz w:val="20"/>
          <w:szCs w:val="20"/>
        </w:rPr>
        <w:t>.</w:t>
      </w:r>
      <w:r w:rsidR="008D2977" w:rsidRPr="00894FA0">
        <w:rPr>
          <w:rFonts w:asciiTheme="majorHAnsi" w:hAnsiTheme="majorHAnsi"/>
          <w:sz w:val="20"/>
          <w:szCs w:val="20"/>
        </w:rPr>
        <w:t xml:space="preserve"> </w:t>
      </w:r>
      <w:r w:rsidR="007C5160" w:rsidRPr="00087F9B">
        <w:rPr>
          <w:rFonts w:asciiTheme="majorHAnsi" w:hAnsiTheme="majorHAnsi"/>
          <w:sz w:val="20"/>
          <w:szCs w:val="20"/>
        </w:rPr>
        <w:t>Seller may disclose such confidential information of Buyer to Seller’s authorized</w:t>
      </w:r>
      <w:r w:rsidR="00683952" w:rsidRPr="00087F9B">
        <w:rPr>
          <w:rFonts w:asciiTheme="majorHAnsi" w:hAnsiTheme="majorHAnsi"/>
          <w:sz w:val="20"/>
          <w:szCs w:val="20"/>
        </w:rPr>
        <w:t xml:space="preserve"> subcontractor, </w:t>
      </w:r>
      <w:proofErr w:type="gramStart"/>
      <w:r w:rsidR="00683952" w:rsidRPr="00087F9B">
        <w:rPr>
          <w:rFonts w:asciiTheme="majorHAnsi" w:hAnsiTheme="majorHAnsi"/>
          <w:sz w:val="20"/>
          <w:szCs w:val="20"/>
        </w:rPr>
        <w:t>provided that</w:t>
      </w:r>
      <w:proofErr w:type="gramEnd"/>
      <w:r w:rsidR="00683952" w:rsidRPr="00087F9B">
        <w:rPr>
          <w:rFonts w:asciiTheme="majorHAnsi" w:hAnsiTheme="majorHAnsi"/>
          <w:sz w:val="20"/>
          <w:szCs w:val="20"/>
        </w:rPr>
        <w:t xml:space="preserve"> subcontractor has obligated itself in writing to maintain such information confidential in the same manner as Seller is so obligated.</w:t>
      </w:r>
      <w:r w:rsidR="00172677" w:rsidRPr="00087F9B">
        <w:rPr>
          <w:rFonts w:asciiTheme="majorHAnsi" w:hAnsiTheme="majorHAnsi"/>
          <w:sz w:val="20"/>
          <w:szCs w:val="20"/>
        </w:rPr>
        <w:t xml:space="preserve"> Upon Buyer’s request, Seller shall promptly return all documents and other materials received from Buyer. Buyer shall be entitled to injunctive relief for any violation of this Section</w:t>
      </w:r>
    </w:p>
    <w:p w14:paraId="411BEFC9" w14:textId="30BB6BB5" w:rsidR="003375C2"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894FA0">
        <w:rPr>
          <w:rFonts w:asciiTheme="majorHAnsi" w:hAnsiTheme="majorHAnsi"/>
          <w:b/>
          <w:bCs/>
          <w:sz w:val="20"/>
          <w:szCs w:val="20"/>
        </w:rPr>
        <w:t xml:space="preserve">GRATUITIES. </w:t>
      </w:r>
      <w:r w:rsidRPr="00894FA0">
        <w:rPr>
          <w:rFonts w:asciiTheme="majorHAnsi" w:hAnsiTheme="majorHAnsi"/>
          <w:sz w:val="20"/>
          <w:szCs w:val="20"/>
        </w:rPr>
        <w:t>Seller warrants that neither it nor any of its employees, agents, or</w:t>
      </w:r>
      <w:r w:rsidRPr="006F735F">
        <w:rPr>
          <w:rFonts w:asciiTheme="majorHAnsi" w:hAnsiTheme="majorHAnsi"/>
          <w:sz w:val="20"/>
          <w:szCs w:val="20"/>
        </w:rPr>
        <w:t xml:space="preserve"> representatives</w:t>
      </w:r>
      <w:r w:rsidR="00A44FE1" w:rsidRPr="006F735F">
        <w:rPr>
          <w:rFonts w:asciiTheme="majorHAnsi" w:hAnsiTheme="majorHAnsi"/>
          <w:sz w:val="20"/>
          <w:szCs w:val="20"/>
        </w:rPr>
        <w:t xml:space="preserve"> </w:t>
      </w:r>
      <w:r w:rsidRPr="006F735F">
        <w:rPr>
          <w:rFonts w:asciiTheme="majorHAnsi" w:hAnsiTheme="majorHAnsi"/>
          <w:sz w:val="20"/>
          <w:szCs w:val="20"/>
        </w:rPr>
        <w:t>have offered or given, or will offer or give, any gratuities to Buyer's employees, agents or representatives</w:t>
      </w:r>
      <w:r w:rsidR="00A44FE1" w:rsidRPr="006F735F">
        <w:rPr>
          <w:rFonts w:asciiTheme="majorHAnsi" w:hAnsiTheme="majorHAnsi"/>
          <w:sz w:val="20"/>
          <w:szCs w:val="20"/>
        </w:rPr>
        <w:t xml:space="preserve"> </w:t>
      </w:r>
      <w:r w:rsidRPr="006F735F">
        <w:rPr>
          <w:rFonts w:asciiTheme="majorHAnsi" w:hAnsiTheme="majorHAnsi"/>
          <w:sz w:val="20"/>
          <w:szCs w:val="20"/>
        </w:rPr>
        <w:t>for the purpose of securing this Order or securing favorable treatment under this Order.</w:t>
      </w:r>
    </w:p>
    <w:p w14:paraId="61B2DD67" w14:textId="29DCB313" w:rsidR="00A85891" w:rsidRPr="009238DB" w:rsidRDefault="009238DB" w:rsidP="00023AE9">
      <w:pPr>
        <w:pStyle w:val="ListParagraph"/>
        <w:numPr>
          <w:ilvl w:val="0"/>
          <w:numId w:val="2"/>
        </w:numPr>
        <w:spacing w:line="240" w:lineRule="auto"/>
        <w:ind w:left="450" w:hanging="450"/>
        <w:jc w:val="both"/>
        <w:rPr>
          <w:rFonts w:asciiTheme="majorHAnsi" w:hAnsiTheme="majorHAnsi"/>
          <w:sz w:val="20"/>
          <w:szCs w:val="20"/>
        </w:rPr>
      </w:pPr>
      <w:r w:rsidRPr="00087F9B">
        <w:rPr>
          <w:rFonts w:asciiTheme="majorHAnsi" w:hAnsiTheme="majorHAnsi"/>
          <w:b/>
          <w:bCs/>
        </w:rPr>
        <w:t>Insurance</w:t>
      </w:r>
      <w:r w:rsidRPr="00087F9B">
        <w:rPr>
          <w:rFonts w:asciiTheme="majorHAnsi" w:hAnsiTheme="majorHAnsi"/>
          <w:b/>
          <w:bCs/>
          <w:sz w:val="20"/>
          <w:szCs w:val="20"/>
        </w:rPr>
        <w:t>.</w:t>
      </w:r>
      <w:r w:rsidRPr="00087F9B">
        <w:rPr>
          <w:rFonts w:asciiTheme="majorHAnsi" w:hAnsiTheme="majorHAnsi"/>
          <w:sz w:val="20"/>
          <w:szCs w:val="20"/>
        </w:rPr>
        <w:t xml:space="preserve"> During the term of the Agreement, and for a period of one (1) year thereafter, Seller shall, at its own expense, maintain and keep in effect insurance that is commercially reasonable, including but not limited to: (a) commercial general liability insurance, including product liability, in an amount of not less than $2,000,000 per occurrence and $2,000,000 in the annual aggregate,</w:t>
      </w:r>
    </w:p>
    <w:p w14:paraId="108999CF" w14:textId="561316DE" w:rsidR="003375C2" w:rsidRPr="00002B20" w:rsidRDefault="003375C2" w:rsidP="00002B20">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FLOW DOWN. </w:t>
      </w:r>
      <w:r w:rsidRPr="006F735F">
        <w:rPr>
          <w:rFonts w:asciiTheme="majorHAnsi" w:hAnsiTheme="majorHAnsi"/>
          <w:sz w:val="20"/>
          <w:szCs w:val="20"/>
        </w:rPr>
        <w:t>These terms and conditions shall be applicable to all subcontractors and suppliers,</w:t>
      </w:r>
      <w:r w:rsidR="00A44FE1" w:rsidRPr="006F735F">
        <w:rPr>
          <w:rFonts w:asciiTheme="majorHAnsi" w:hAnsiTheme="majorHAnsi"/>
          <w:sz w:val="20"/>
          <w:szCs w:val="20"/>
        </w:rPr>
        <w:t xml:space="preserve"> </w:t>
      </w:r>
      <w:r w:rsidRPr="006F735F">
        <w:rPr>
          <w:rFonts w:asciiTheme="majorHAnsi" w:hAnsiTheme="majorHAnsi"/>
          <w:sz w:val="20"/>
          <w:szCs w:val="20"/>
        </w:rPr>
        <w:t>and seller shall insert the substance of these terms and conditions in all subcontracts awarded in</w:t>
      </w:r>
      <w:r w:rsidR="00A44FE1" w:rsidRPr="006F735F">
        <w:rPr>
          <w:rFonts w:asciiTheme="majorHAnsi" w:hAnsiTheme="majorHAnsi"/>
          <w:sz w:val="20"/>
          <w:szCs w:val="20"/>
        </w:rPr>
        <w:t xml:space="preserve"> </w:t>
      </w:r>
      <w:r w:rsidRPr="006F735F">
        <w:rPr>
          <w:rFonts w:asciiTheme="majorHAnsi" w:hAnsiTheme="majorHAnsi"/>
          <w:sz w:val="20"/>
          <w:szCs w:val="20"/>
        </w:rPr>
        <w:t>performance of the Order.</w:t>
      </w:r>
      <w:r w:rsidR="00002B20">
        <w:rPr>
          <w:rFonts w:asciiTheme="majorHAnsi" w:hAnsiTheme="majorHAnsi"/>
          <w:sz w:val="20"/>
          <w:szCs w:val="20"/>
        </w:rPr>
        <w:t xml:space="preserve"> </w:t>
      </w:r>
      <w:proofErr w:type="gramStart"/>
      <w:r w:rsidRPr="00002B20">
        <w:rPr>
          <w:rFonts w:asciiTheme="majorHAnsi" w:hAnsiTheme="majorHAnsi"/>
          <w:sz w:val="20"/>
          <w:szCs w:val="20"/>
        </w:rPr>
        <w:t>Supplier is</w:t>
      </w:r>
      <w:proofErr w:type="gramEnd"/>
      <w:r w:rsidRPr="00002B20">
        <w:rPr>
          <w:rFonts w:asciiTheme="majorHAnsi" w:hAnsiTheme="majorHAnsi"/>
          <w:sz w:val="20"/>
          <w:szCs w:val="20"/>
        </w:rPr>
        <w:t xml:space="preserve"> responsible for ensuring that subcontractors, suppliers and personnel are aware of their</w:t>
      </w:r>
      <w:r w:rsidR="00A44FE1" w:rsidRPr="00002B20">
        <w:rPr>
          <w:rFonts w:asciiTheme="majorHAnsi" w:hAnsiTheme="majorHAnsi"/>
          <w:sz w:val="20"/>
          <w:szCs w:val="20"/>
        </w:rPr>
        <w:t xml:space="preserve"> </w:t>
      </w:r>
      <w:r w:rsidRPr="00002B20">
        <w:rPr>
          <w:rFonts w:asciiTheme="majorHAnsi" w:hAnsiTheme="majorHAnsi"/>
          <w:sz w:val="20"/>
          <w:szCs w:val="20"/>
        </w:rPr>
        <w:t>contribution to product or service conformity and product safety, and the importance of ethical behavior.</w:t>
      </w:r>
    </w:p>
    <w:p w14:paraId="117FB447" w14:textId="46BC694C" w:rsidR="003375C2"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OVERRIDING TERMS &amp; CONDITIONS. </w:t>
      </w:r>
      <w:r w:rsidRPr="006F735F">
        <w:rPr>
          <w:rFonts w:asciiTheme="majorHAnsi" w:hAnsiTheme="majorHAnsi"/>
          <w:sz w:val="20"/>
          <w:szCs w:val="20"/>
        </w:rPr>
        <w:t>The terms and conditions of this Order apply to the purchase of</w:t>
      </w:r>
      <w:r w:rsidR="00A44FE1" w:rsidRPr="006F735F">
        <w:rPr>
          <w:rFonts w:asciiTheme="majorHAnsi" w:hAnsiTheme="majorHAnsi"/>
          <w:sz w:val="20"/>
          <w:szCs w:val="20"/>
        </w:rPr>
        <w:t xml:space="preserve"> </w:t>
      </w:r>
      <w:r w:rsidRPr="006F735F">
        <w:rPr>
          <w:rFonts w:asciiTheme="majorHAnsi" w:hAnsiTheme="majorHAnsi"/>
          <w:sz w:val="20"/>
          <w:szCs w:val="20"/>
        </w:rPr>
        <w:t>Goods from the Seller. Any additional or different terms proposed by the Seller are hereby objected to</w:t>
      </w:r>
      <w:r w:rsidR="00A44FE1" w:rsidRPr="006F735F">
        <w:rPr>
          <w:rFonts w:asciiTheme="majorHAnsi" w:hAnsiTheme="majorHAnsi"/>
          <w:sz w:val="20"/>
          <w:szCs w:val="20"/>
        </w:rPr>
        <w:t xml:space="preserve"> </w:t>
      </w:r>
      <w:r w:rsidRPr="006F735F">
        <w:rPr>
          <w:rFonts w:asciiTheme="majorHAnsi" w:hAnsiTheme="majorHAnsi"/>
          <w:sz w:val="20"/>
          <w:szCs w:val="20"/>
        </w:rPr>
        <w:t>and shall be of no effect nor in any circumstances binding upon Buyer unless specifically agreed to in</w:t>
      </w:r>
      <w:r w:rsidR="00A44FE1" w:rsidRPr="006F735F">
        <w:rPr>
          <w:rFonts w:asciiTheme="majorHAnsi" w:hAnsiTheme="majorHAnsi"/>
          <w:sz w:val="20"/>
          <w:szCs w:val="20"/>
        </w:rPr>
        <w:t xml:space="preserve"> </w:t>
      </w:r>
      <w:r w:rsidRPr="006F735F">
        <w:rPr>
          <w:rFonts w:asciiTheme="majorHAnsi" w:hAnsiTheme="majorHAnsi"/>
          <w:sz w:val="20"/>
          <w:szCs w:val="20"/>
        </w:rPr>
        <w:t>writing by an officer of Buyer. Buyer shall not be deemed to have waived any of its rights if it fails to</w:t>
      </w:r>
      <w:r w:rsidR="00A44FE1" w:rsidRPr="006F735F">
        <w:rPr>
          <w:rFonts w:asciiTheme="majorHAnsi" w:hAnsiTheme="majorHAnsi"/>
          <w:sz w:val="20"/>
          <w:szCs w:val="20"/>
        </w:rPr>
        <w:t xml:space="preserve"> </w:t>
      </w:r>
      <w:r w:rsidRPr="006F735F">
        <w:rPr>
          <w:rFonts w:asciiTheme="majorHAnsi" w:hAnsiTheme="majorHAnsi"/>
          <w:sz w:val="20"/>
          <w:szCs w:val="20"/>
        </w:rPr>
        <w:t>object to provisions appearing on, incorporated by reference in or attached to Seller’s terms of sale.</w:t>
      </w:r>
      <w:r w:rsidR="002A2A6E" w:rsidRPr="006F735F">
        <w:rPr>
          <w:rFonts w:asciiTheme="majorHAnsi" w:hAnsiTheme="majorHAnsi"/>
          <w:sz w:val="20"/>
          <w:szCs w:val="20"/>
        </w:rPr>
        <w:t xml:space="preserve"> </w:t>
      </w:r>
      <w:r w:rsidRPr="006F735F">
        <w:rPr>
          <w:rFonts w:asciiTheme="majorHAnsi" w:hAnsiTheme="majorHAnsi"/>
          <w:sz w:val="20"/>
          <w:szCs w:val="20"/>
        </w:rPr>
        <w:t>Seller’s silence, acceptance or delivery of Goods constitutes Seller’s acceptance of these purchase</w:t>
      </w:r>
      <w:r w:rsidR="002A2A6E" w:rsidRPr="006F735F">
        <w:rPr>
          <w:rFonts w:asciiTheme="majorHAnsi" w:hAnsiTheme="majorHAnsi"/>
          <w:sz w:val="20"/>
          <w:szCs w:val="20"/>
        </w:rPr>
        <w:t xml:space="preserve"> </w:t>
      </w:r>
      <w:r w:rsidRPr="006F735F">
        <w:rPr>
          <w:rFonts w:asciiTheme="majorHAnsi" w:hAnsiTheme="majorHAnsi"/>
          <w:sz w:val="20"/>
          <w:szCs w:val="20"/>
        </w:rPr>
        <w:t>terms and conditions.</w:t>
      </w:r>
    </w:p>
    <w:p w14:paraId="3CDF5864" w14:textId="77777777" w:rsidR="00894FA0" w:rsidRPr="00087F9B" w:rsidRDefault="00894FA0" w:rsidP="00894FA0">
      <w:pPr>
        <w:pStyle w:val="sfalevel1"/>
        <w:numPr>
          <w:ilvl w:val="0"/>
          <w:numId w:val="2"/>
        </w:numPr>
        <w:spacing w:before="0" w:line="240" w:lineRule="auto"/>
        <w:jc w:val="both"/>
        <w:rPr>
          <w:rFonts w:asciiTheme="majorHAnsi" w:hAnsiTheme="majorHAnsi"/>
          <w:sz w:val="20"/>
          <w:szCs w:val="20"/>
        </w:rPr>
      </w:pPr>
      <w:r w:rsidRPr="00087F9B">
        <w:rPr>
          <w:rFonts w:asciiTheme="majorHAnsi" w:hAnsiTheme="majorHAnsi"/>
          <w:b/>
          <w:bCs/>
        </w:rPr>
        <w:t>Waiver</w:t>
      </w:r>
      <w:r w:rsidRPr="00087F9B">
        <w:rPr>
          <w:rFonts w:asciiTheme="majorHAnsi" w:hAnsiTheme="majorHAnsi"/>
        </w:rPr>
        <w:t>.</w:t>
      </w:r>
      <w:r w:rsidRPr="00087F9B">
        <w:rPr>
          <w:rFonts w:asciiTheme="majorHAnsi" w:hAnsiTheme="majorHAnsi"/>
          <w:sz w:val="20"/>
          <w:szCs w:val="20"/>
        </w:rPr>
        <w:t xml:space="preserve"> No waiver by Buyer of any of the provisions of this Agreement is effective unless explicitly set forth in writing and signed by Buyer. No failure to exercise, or delay in exercising, any right, remedy, power or privilege arising from this Agreement operates, or may be construed, as a waiver thereof. No single or partial exercise of any right, remedy, power or privilege hereunder precludes any other or further exercise thereof or the exercise of any other right, remedy, power or privilege.</w:t>
      </w:r>
    </w:p>
    <w:p w14:paraId="3ED831A1" w14:textId="77777777" w:rsidR="00DD55CC" w:rsidRPr="006F735F" w:rsidRDefault="00DD55CC" w:rsidP="00087F9B">
      <w:pPr>
        <w:pStyle w:val="ListParagraph"/>
        <w:spacing w:line="240" w:lineRule="auto"/>
        <w:ind w:left="450"/>
        <w:jc w:val="both"/>
        <w:rPr>
          <w:rFonts w:asciiTheme="majorHAnsi" w:hAnsiTheme="majorHAnsi"/>
          <w:sz w:val="20"/>
          <w:szCs w:val="20"/>
        </w:rPr>
      </w:pPr>
    </w:p>
    <w:p w14:paraId="3C16E70E" w14:textId="56296EB5" w:rsidR="003375C2" w:rsidRPr="006F735F" w:rsidRDefault="003375C2" w:rsidP="00023AE9">
      <w:pPr>
        <w:pStyle w:val="ListParagraph"/>
        <w:numPr>
          <w:ilvl w:val="0"/>
          <w:numId w:val="2"/>
        </w:numPr>
        <w:spacing w:line="240" w:lineRule="auto"/>
        <w:ind w:left="450" w:hanging="450"/>
        <w:jc w:val="both"/>
        <w:rPr>
          <w:rFonts w:asciiTheme="majorHAnsi" w:hAnsiTheme="majorHAnsi"/>
          <w:sz w:val="20"/>
          <w:szCs w:val="20"/>
        </w:rPr>
      </w:pPr>
      <w:r w:rsidRPr="006F735F">
        <w:rPr>
          <w:rFonts w:asciiTheme="majorHAnsi" w:hAnsiTheme="majorHAnsi"/>
          <w:b/>
          <w:bCs/>
          <w:sz w:val="20"/>
          <w:szCs w:val="20"/>
        </w:rPr>
        <w:t xml:space="preserve">GOVERNING LAW. </w:t>
      </w:r>
      <w:r w:rsidRPr="006F735F">
        <w:rPr>
          <w:rFonts w:asciiTheme="majorHAnsi" w:hAnsiTheme="majorHAnsi"/>
          <w:sz w:val="20"/>
          <w:szCs w:val="20"/>
        </w:rPr>
        <w:t>This Order shall be governed by and construed in accordance with the laws of</w:t>
      </w:r>
      <w:r w:rsidR="002A2A6E" w:rsidRPr="006F735F">
        <w:rPr>
          <w:rFonts w:asciiTheme="majorHAnsi" w:hAnsiTheme="majorHAnsi"/>
          <w:sz w:val="20"/>
          <w:szCs w:val="20"/>
        </w:rPr>
        <w:t xml:space="preserve"> </w:t>
      </w:r>
      <w:r w:rsidRPr="006F735F">
        <w:rPr>
          <w:rFonts w:asciiTheme="majorHAnsi" w:hAnsiTheme="majorHAnsi"/>
          <w:sz w:val="20"/>
          <w:szCs w:val="20"/>
        </w:rPr>
        <w:t xml:space="preserve">the state of </w:t>
      </w:r>
      <w:r w:rsidR="00DB00B1">
        <w:rPr>
          <w:rFonts w:asciiTheme="majorHAnsi" w:hAnsiTheme="majorHAnsi"/>
          <w:sz w:val="20"/>
          <w:szCs w:val="20"/>
        </w:rPr>
        <w:t>Delaware</w:t>
      </w:r>
      <w:r w:rsidRPr="006F735F">
        <w:rPr>
          <w:rFonts w:asciiTheme="majorHAnsi" w:hAnsiTheme="majorHAnsi"/>
          <w:sz w:val="20"/>
          <w:szCs w:val="20"/>
        </w:rPr>
        <w:t>.</w:t>
      </w:r>
    </w:p>
    <w:p w14:paraId="7E2C61C5" w14:textId="77777777" w:rsidR="002A2A6E" w:rsidRPr="006F735F" w:rsidRDefault="002A2A6E" w:rsidP="006F735F">
      <w:pPr>
        <w:pStyle w:val="ListParagraph"/>
        <w:numPr>
          <w:ilvl w:val="0"/>
          <w:numId w:val="2"/>
        </w:numPr>
        <w:ind w:left="450" w:hanging="450"/>
        <w:rPr>
          <w:rFonts w:asciiTheme="majorHAnsi" w:hAnsiTheme="majorHAnsi"/>
          <w:b/>
          <w:bCs/>
          <w:sz w:val="20"/>
          <w:szCs w:val="20"/>
        </w:rPr>
      </w:pPr>
      <w:r w:rsidRPr="006F735F">
        <w:rPr>
          <w:rFonts w:asciiTheme="majorHAnsi" w:hAnsiTheme="majorHAnsi"/>
          <w:b/>
          <w:bCs/>
          <w:sz w:val="20"/>
          <w:szCs w:val="20"/>
        </w:rPr>
        <w:br w:type="page"/>
      </w:r>
    </w:p>
    <w:p w14:paraId="46B9D11C" w14:textId="02E3F115" w:rsidR="00045EFB" w:rsidRPr="00C06624" w:rsidRDefault="00C06624" w:rsidP="00C06624">
      <w:pPr>
        <w:spacing w:after="0" w:line="240" w:lineRule="auto"/>
        <w:jc w:val="both"/>
        <w:rPr>
          <w:rFonts w:asciiTheme="majorHAnsi" w:hAnsiTheme="majorHAnsi"/>
          <w:sz w:val="20"/>
          <w:szCs w:val="20"/>
        </w:rPr>
      </w:pPr>
      <w:r>
        <w:rPr>
          <w:rFonts w:asciiTheme="majorHAnsi" w:hAnsiTheme="majorHAnsi"/>
          <w:b/>
          <w:bCs/>
          <w:sz w:val="20"/>
          <w:szCs w:val="20"/>
        </w:rPr>
        <w:lastRenderedPageBreak/>
        <w:t xml:space="preserve">22.     </w:t>
      </w:r>
      <w:r w:rsidR="003375C2" w:rsidRPr="00C06624">
        <w:rPr>
          <w:rFonts w:asciiTheme="majorHAnsi" w:hAnsiTheme="majorHAnsi"/>
          <w:b/>
          <w:bCs/>
          <w:sz w:val="20"/>
          <w:szCs w:val="20"/>
        </w:rPr>
        <w:t xml:space="preserve">GOVERNMENT CLAUSES. </w:t>
      </w:r>
      <w:r w:rsidR="003375C2" w:rsidRPr="00C06624">
        <w:rPr>
          <w:rFonts w:asciiTheme="majorHAnsi" w:hAnsiTheme="majorHAnsi"/>
          <w:sz w:val="20"/>
          <w:szCs w:val="20"/>
        </w:rPr>
        <w:t>Government clauses (FAR)</w:t>
      </w:r>
      <w:r w:rsidR="006F735F" w:rsidRPr="00C06624">
        <w:rPr>
          <w:rFonts w:asciiTheme="majorHAnsi" w:hAnsiTheme="majorHAnsi"/>
          <w:sz w:val="20"/>
          <w:szCs w:val="20"/>
        </w:rPr>
        <w:t xml:space="preserve"> </w:t>
      </w:r>
      <w:r w:rsidR="003375C2" w:rsidRPr="00C06624">
        <w:rPr>
          <w:rFonts w:asciiTheme="majorHAnsi" w:hAnsiTheme="majorHAnsi"/>
          <w:sz w:val="20"/>
          <w:szCs w:val="20"/>
        </w:rPr>
        <w:t>applicable to this Order are</w:t>
      </w:r>
      <w:r w:rsidR="006F735F" w:rsidRPr="00C06624">
        <w:rPr>
          <w:rFonts w:asciiTheme="majorHAnsi" w:hAnsiTheme="majorHAnsi"/>
          <w:sz w:val="20"/>
          <w:szCs w:val="20"/>
        </w:rPr>
        <w:t xml:space="preserve"> </w:t>
      </w:r>
      <w:r w:rsidR="003375C2" w:rsidRPr="00C06624">
        <w:rPr>
          <w:rFonts w:asciiTheme="majorHAnsi" w:hAnsiTheme="majorHAnsi"/>
          <w:sz w:val="20"/>
          <w:szCs w:val="20"/>
        </w:rPr>
        <w:t>incorporated herein:</w:t>
      </w:r>
    </w:p>
    <w:p w14:paraId="285AA553" w14:textId="64F69057" w:rsidR="00045EFB" w:rsidRPr="00DD08E9" w:rsidRDefault="00045EFB" w:rsidP="00045EFB">
      <w:pPr>
        <w:spacing w:after="0" w:line="240" w:lineRule="auto"/>
        <w:ind w:left="450"/>
        <w:jc w:val="both"/>
        <w:rPr>
          <w:rFonts w:asciiTheme="majorHAnsi" w:hAnsiTheme="majorHAnsi"/>
          <w:sz w:val="20"/>
          <w:szCs w:val="20"/>
        </w:rPr>
      </w:pPr>
      <w:r w:rsidRPr="00DD08E9">
        <w:rPr>
          <w:rFonts w:asciiTheme="majorHAnsi" w:hAnsiTheme="majorHAnsi"/>
          <w:sz w:val="20"/>
          <w:szCs w:val="20"/>
        </w:rPr>
        <w:t>52.204-21 Basic Safeguarding of Covered Contractor Information Systems</w:t>
      </w:r>
    </w:p>
    <w:p w14:paraId="1CED9B74"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52.203-12 – LIMITATIONS ON PAYMENTS TO INFLUENCE CERTAIN FEDERAL TRANSACTIONS</w:t>
      </w:r>
    </w:p>
    <w:p w14:paraId="627173FA"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52.203-19 Prohibition on Requiring Certain Internal Confidentiality Agreements or Statements</w:t>
      </w:r>
    </w:p>
    <w:p w14:paraId="357B188F"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52.219-8 Utilization of Small Business Concerns</w:t>
      </w:r>
    </w:p>
    <w:p w14:paraId="4E69FE84"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52.222-21 Prohibition of Segregated Facilities</w:t>
      </w:r>
    </w:p>
    <w:p w14:paraId="5355DC41"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52.222-26 Equal Opportunity</w:t>
      </w:r>
    </w:p>
    <w:p w14:paraId="1FEF7C56"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52.222-35 Equal Opportunity for Veterans</w:t>
      </w:r>
    </w:p>
    <w:p w14:paraId="4181B719"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52.222-36 Equal Opportunity for Workers with Disabilities</w:t>
      </w:r>
    </w:p>
    <w:p w14:paraId="285A1B57"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52.222-37 Employment Reports on Veterans</w:t>
      </w:r>
    </w:p>
    <w:p w14:paraId="23D7A99B"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52.222-40 Notification of Employee Rights Under the National Labor Relations Act</w:t>
      </w:r>
    </w:p>
    <w:p w14:paraId="23926059"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52.222-41 Service Contract Labor Standards</w:t>
      </w:r>
    </w:p>
    <w:p w14:paraId="41870349"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52.222-50 Combating Trafficking in Persons</w:t>
      </w:r>
    </w:p>
    <w:p w14:paraId="7395CFE6"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52.222-54 Employment Eligibility Verification</w:t>
      </w:r>
    </w:p>
    <w:p w14:paraId="5555963A"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52.222-55 Minimum Wages for Contractor Workers Under Executive Order 14026</w:t>
      </w:r>
    </w:p>
    <w:p w14:paraId="4F7109A8" w14:textId="77777777" w:rsidR="003375C2"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52.222-62 Paid Sick Leave Under Executive Order 13706</w:t>
      </w:r>
    </w:p>
    <w:p w14:paraId="66025BDD" w14:textId="77777777" w:rsidR="00E7320C" w:rsidRDefault="00E7320C" w:rsidP="00E7320C">
      <w:pPr>
        <w:spacing w:after="0" w:line="240" w:lineRule="auto"/>
        <w:ind w:left="450"/>
        <w:jc w:val="both"/>
        <w:rPr>
          <w:rFonts w:asciiTheme="majorHAnsi" w:hAnsiTheme="majorHAnsi"/>
          <w:sz w:val="20"/>
          <w:szCs w:val="20"/>
        </w:rPr>
      </w:pPr>
      <w:r w:rsidRPr="00DD08E9">
        <w:rPr>
          <w:rFonts w:asciiTheme="majorHAnsi" w:hAnsiTheme="majorHAnsi"/>
          <w:sz w:val="20"/>
          <w:szCs w:val="20"/>
        </w:rPr>
        <w:t>52.2</w:t>
      </w:r>
      <w:r>
        <w:rPr>
          <w:rFonts w:asciiTheme="majorHAnsi" w:hAnsiTheme="majorHAnsi"/>
          <w:sz w:val="20"/>
          <w:szCs w:val="20"/>
        </w:rPr>
        <w:t>22</w:t>
      </w:r>
      <w:r w:rsidRPr="00DD08E9">
        <w:rPr>
          <w:rFonts w:asciiTheme="majorHAnsi" w:hAnsiTheme="majorHAnsi"/>
          <w:sz w:val="20"/>
          <w:szCs w:val="20"/>
        </w:rPr>
        <w:t>-</w:t>
      </w:r>
      <w:r>
        <w:rPr>
          <w:rFonts w:asciiTheme="majorHAnsi" w:hAnsiTheme="majorHAnsi"/>
          <w:sz w:val="20"/>
          <w:szCs w:val="20"/>
        </w:rPr>
        <w:t>90</w:t>
      </w:r>
      <w:r w:rsidRPr="00DD08E9">
        <w:rPr>
          <w:rFonts w:asciiTheme="majorHAnsi" w:hAnsiTheme="majorHAnsi"/>
          <w:sz w:val="20"/>
          <w:szCs w:val="20"/>
        </w:rPr>
        <w:t xml:space="preserve"> </w:t>
      </w:r>
      <w:r>
        <w:rPr>
          <w:rFonts w:asciiTheme="majorHAnsi" w:hAnsiTheme="majorHAnsi"/>
          <w:sz w:val="20"/>
          <w:szCs w:val="20"/>
        </w:rPr>
        <w:t>Addressing DEI Discrimination by Federal Contactors</w:t>
      </w:r>
    </w:p>
    <w:p w14:paraId="3E8C6306"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52.223-3 Hazardous Material Identification and Material Safety Data</w:t>
      </w:r>
    </w:p>
    <w:p w14:paraId="2ABFB3B9"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52.224-3 Privacy Training</w:t>
      </w:r>
    </w:p>
    <w:p w14:paraId="175E922E"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52.225-13 Restrictions on Certain Foreign Purchases</w:t>
      </w:r>
    </w:p>
    <w:p w14:paraId="221ABD9D"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52.232-40 Providing Accelerated Payments to Small Business Subcontractors</w:t>
      </w:r>
    </w:p>
    <w:p w14:paraId="76E8EDC6"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52.244-6 Subcontracts for Commercial Products and Commercial Services</w:t>
      </w:r>
    </w:p>
    <w:p w14:paraId="60F6B88B"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52.245-1 Government Property</w:t>
      </w:r>
    </w:p>
    <w:p w14:paraId="741290D2"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52.247-64 Preference for Privately Owned U.S.-Flag Commercial Vessels</w:t>
      </w:r>
    </w:p>
    <w:p w14:paraId="074AD0D0"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252.204-7009 Limitations on the Use or Disclosure of Third-Party Contractor Reported Cyber Incident</w:t>
      </w:r>
    </w:p>
    <w:p w14:paraId="5C396D3D"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Information</w:t>
      </w:r>
    </w:p>
    <w:p w14:paraId="2220A769"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252.204-7012 Safeguarding Covered Defense Information and Cyber Incident Reporting</w:t>
      </w:r>
    </w:p>
    <w:p w14:paraId="59C33059"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252.204-7015 Notice of Authorized Disclosure of Information for Litigation Support</w:t>
      </w:r>
    </w:p>
    <w:p w14:paraId="3022B1EE"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252.211-7003 Item Unique Identification and Valuation</w:t>
      </w:r>
    </w:p>
    <w:p w14:paraId="3E10CB02"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252.223-7008 Prohibition of Hexavalent Chromium</w:t>
      </w:r>
    </w:p>
    <w:p w14:paraId="2548D383"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252.225-7007 Prohibition on Acquisition of Certain Items from Communist Chinese Military</w:t>
      </w:r>
    </w:p>
    <w:p w14:paraId="75E6FC83"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Companies</w:t>
      </w:r>
    </w:p>
    <w:p w14:paraId="39722913"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252.225-7009 Restriction on Acquisition of Certain Articles Containing Specialty Metals (less</w:t>
      </w:r>
    </w:p>
    <w:p w14:paraId="6B9E7E90"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paragraph (d) and this paragraph (e)(1))</w:t>
      </w:r>
    </w:p>
    <w:p w14:paraId="3A6A5126"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252.225-7048 Export-Controlled Items</w:t>
      </w:r>
    </w:p>
    <w:p w14:paraId="1BB7FBF1"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252.226-7001 Utilization of Indian Organizations, Indian-Owned Economic Enterprises, and</w:t>
      </w:r>
    </w:p>
    <w:p w14:paraId="7C491DEB"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Native Hawaiian Small Business Concerns</w:t>
      </w:r>
    </w:p>
    <w:p w14:paraId="1C0DCA9E"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252.227-7015 Technical Data - Commercial Products and Commercial Services</w:t>
      </w:r>
    </w:p>
    <w:p w14:paraId="5822C7D1"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252.227-7037 Validation of Restrictive Markings on Technical Data</w:t>
      </w:r>
    </w:p>
    <w:p w14:paraId="49589483"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252.244-7000 Subcontracts for Commercial Products or Commercial Services</w:t>
      </w:r>
    </w:p>
    <w:p w14:paraId="66463B88"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252.246-7003 Notification of Potential Safety Issues</w:t>
      </w:r>
    </w:p>
    <w:p w14:paraId="528371F6"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252.246-7007 Contractor Counterfeit Electronic Part Detection and Avoidance System</w:t>
      </w:r>
    </w:p>
    <w:p w14:paraId="17B7D25F"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(excluding the introductory text and including only paragraphs (a) through (e))</w:t>
      </w:r>
    </w:p>
    <w:p w14:paraId="020E3E7D"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252.246-7008 Sources of Electronic Parts</w:t>
      </w:r>
    </w:p>
    <w:p w14:paraId="777FE8D2"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252.249-7002 Notification of Anticipated Contract Termination or Reduction – Delete</w:t>
      </w:r>
    </w:p>
    <w:p w14:paraId="0113AEF7"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 xml:space="preserve">paragraph </w:t>
      </w:r>
      <w:proofErr w:type="gramStart"/>
      <w:r w:rsidRPr="00DD08E9">
        <w:rPr>
          <w:rFonts w:asciiTheme="majorHAnsi" w:hAnsiTheme="majorHAnsi"/>
          <w:sz w:val="20"/>
          <w:szCs w:val="20"/>
        </w:rPr>
        <w:t>d(</w:t>
      </w:r>
      <w:proofErr w:type="gramEnd"/>
      <w:r w:rsidRPr="00DD08E9">
        <w:rPr>
          <w:rFonts w:asciiTheme="majorHAnsi" w:hAnsiTheme="majorHAnsi"/>
          <w:sz w:val="20"/>
          <w:szCs w:val="20"/>
        </w:rPr>
        <w:t>1) and the first five words of paragraph (d)(2) 52.222-22 Previous</w:t>
      </w:r>
    </w:p>
    <w:p w14:paraId="6B2BE8B5"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Contracts and Compliance Reports</w:t>
      </w:r>
    </w:p>
    <w:p w14:paraId="0E8B63B1"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NAVAIR 5252.204-9504 DISCLOSURE OF CONTRACT INFORMATION (NAVAIR) (JAN 2007)</w:t>
      </w:r>
    </w:p>
    <w:p w14:paraId="147C2697" w14:textId="77777777" w:rsidR="003375C2" w:rsidRPr="00DD08E9"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NAVAIR 5252.227-9507 NOTICE REGARDING THE DISSEMINATION OF EXPORT-CONTROLLED</w:t>
      </w:r>
    </w:p>
    <w:p w14:paraId="1C7C1EA5" w14:textId="79E1258D" w:rsidR="003375C2" w:rsidRDefault="003375C2" w:rsidP="00DD08E9">
      <w:pPr>
        <w:spacing w:after="0" w:line="240" w:lineRule="auto"/>
        <w:ind w:left="450"/>
        <w:jc w:val="both"/>
        <w:rPr>
          <w:rFonts w:asciiTheme="majorHAnsi" w:hAnsiTheme="majorHAnsi"/>
          <w:sz w:val="20"/>
          <w:szCs w:val="20"/>
        </w:rPr>
      </w:pPr>
      <w:r w:rsidRPr="00DD08E9">
        <w:rPr>
          <w:rFonts w:asciiTheme="majorHAnsi" w:hAnsiTheme="majorHAnsi"/>
          <w:sz w:val="20"/>
          <w:szCs w:val="20"/>
        </w:rPr>
        <w:t>TECHNICAL DATA (NAVAIR) (OCT 2005)</w:t>
      </w:r>
    </w:p>
    <w:p w14:paraId="4D064F27" w14:textId="77777777" w:rsidR="008B4574" w:rsidRPr="00DD08E9" w:rsidRDefault="008B4574" w:rsidP="008B4574">
      <w:pPr>
        <w:spacing w:after="0" w:line="240" w:lineRule="auto"/>
        <w:ind w:left="450"/>
        <w:jc w:val="both"/>
        <w:rPr>
          <w:rFonts w:asciiTheme="majorHAnsi" w:hAnsiTheme="majorHAnsi"/>
          <w:sz w:val="20"/>
          <w:szCs w:val="20"/>
        </w:rPr>
      </w:pPr>
      <w:r w:rsidRPr="00DD08E9">
        <w:rPr>
          <w:rFonts w:asciiTheme="majorHAnsi" w:hAnsiTheme="majorHAnsi"/>
          <w:sz w:val="20"/>
          <w:szCs w:val="20"/>
        </w:rPr>
        <w:t>252.228-7001 Ground and Flight Risk (less paragraph (f))</w:t>
      </w:r>
    </w:p>
    <w:p w14:paraId="06176696" w14:textId="77777777" w:rsidR="008B4574" w:rsidRPr="00DD08E9" w:rsidRDefault="008B4574" w:rsidP="008B4574">
      <w:pPr>
        <w:spacing w:after="0" w:line="240" w:lineRule="auto"/>
        <w:ind w:left="450"/>
        <w:jc w:val="both"/>
        <w:rPr>
          <w:rFonts w:asciiTheme="majorHAnsi" w:hAnsiTheme="majorHAnsi"/>
          <w:sz w:val="20"/>
          <w:szCs w:val="20"/>
        </w:rPr>
      </w:pPr>
      <w:r w:rsidRPr="00DD08E9">
        <w:rPr>
          <w:rFonts w:asciiTheme="majorHAnsi" w:hAnsiTheme="majorHAnsi"/>
          <w:sz w:val="20"/>
          <w:szCs w:val="20"/>
        </w:rPr>
        <w:t>252.219-7004 Small Business Subcontracting Plan (Test Program)</w:t>
      </w:r>
    </w:p>
    <w:p w14:paraId="149FAEEC" w14:textId="77777777" w:rsidR="008B4574" w:rsidRPr="00DD08E9" w:rsidRDefault="008B4574" w:rsidP="00DD08E9">
      <w:pPr>
        <w:spacing w:after="0" w:line="240" w:lineRule="auto"/>
        <w:ind w:left="450"/>
        <w:jc w:val="both"/>
        <w:rPr>
          <w:rFonts w:asciiTheme="majorHAnsi" w:hAnsiTheme="majorHAnsi"/>
          <w:sz w:val="20"/>
          <w:szCs w:val="20"/>
        </w:rPr>
      </w:pPr>
    </w:p>
    <w:sectPr w:rsidR="008B4574" w:rsidRPr="00DD08E9" w:rsidSect="00DD08E9">
      <w:headerReference w:type="default" r:id="rId8"/>
      <w:headerReference w:type="first" r:id="rId9"/>
      <w:pgSz w:w="12240" w:h="15840"/>
      <w:pgMar w:top="1710"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E649" w14:textId="77777777" w:rsidR="00532507" w:rsidRDefault="00532507" w:rsidP="0073700F">
      <w:pPr>
        <w:spacing w:after="0" w:line="240" w:lineRule="auto"/>
      </w:pPr>
      <w:r>
        <w:separator/>
      </w:r>
    </w:p>
  </w:endnote>
  <w:endnote w:type="continuationSeparator" w:id="0">
    <w:p w14:paraId="269A8F25" w14:textId="77777777" w:rsidR="00532507" w:rsidRDefault="00532507" w:rsidP="0073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94F6" w14:textId="77777777" w:rsidR="00532507" w:rsidRDefault="00532507" w:rsidP="0073700F">
      <w:pPr>
        <w:spacing w:after="0" w:line="240" w:lineRule="auto"/>
      </w:pPr>
      <w:r>
        <w:separator/>
      </w:r>
    </w:p>
  </w:footnote>
  <w:footnote w:type="continuationSeparator" w:id="0">
    <w:p w14:paraId="12455E29" w14:textId="77777777" w:rsidR="00532507" w:rsidRDefault="00532507" w:rsidP="00737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456"/>
      <w:gridCol w:w="1950"/>
      <w:gridCol w:w="1989"/>
      <w:gridCol w:w="1955"/>
    </w:tblGrid>
    <w:tr w:rsidR="00A97A46" w14:paraId="79893E03" w14:textId="77777777" w:rsidTr="00DC1E5A">
      <w:trPr>
        <w:trHeight w:val="621"/>
      </w:trPr>
      <w:tc>
        <w:tcPr>
          <w:tcW w:w="2886" w:type="dxa"/>
          <w:vMerge w:val="restart"/>
          <w:vAlign w:val="center"/>
        </w:tcPr>
        <w:p w14:paraId="6ABB5769" w14:textId="3867197B" w:rsidR="00A97A46" w:rsidRDefault="008F2C3A" w:rsidP="00A97A46">
          <w:pPr>
            <w:pStyle w:val="Header"/>
            <w:jc w:val="center"/>
          </w:pPr>
          <w:r>
            <w:rPr>
              <w:noProof/>
            </w:rPr>
            <w:drawing>
              <wp:inline distT="0" distB="0" distL="0" distR="0" wp14:anchorId="6649592D" wp14:editId="26EEF6DB">
                <wp:extent cx="2050435" cy="488950"/>
                <wp:effectExtent l="0" t="0" r="6985" b="6350"/>
                <wp:docPr id="284599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47962" name="Picture 1017447962"/>
                        <pic:cNvPicPr/>
                      </pic:nvPicPr>
                      <pic:blipFill>
                        <a:blip r:embed="rId1">
                          <a:extLst>
                            <a:ext uri="{28A0092B-C50C-407E-A947-70E740481C1C}">
                              <a14:useLocalDpi xmlns:a14="http://schemas.microsoft.com/office/drawing/2010/main" val="0"/>
                            </a:ext>
                          </a:extLst>
                        </a:blip>
                        <a:stretch>
                          <a:fillRect/>
                        </a:stretch>
                      </pic:blipFill>
                      <pic:spPr>
                        <a:xfrm>
                          <a:off x="0" y="0"/>
                          <a:ext cx="2075748" cy="494986"/>
                        </a:xfrm>
                        <a:prstGeom prst="rect">
                          <a:avLst/>
                        </a:prstGeom>
                      </pic:spPr>
                    </pic:pic>
                  </a:graphicData>
                </a:graphic>
              </wp:inline>
            </w:drawing>
          </w:r>
        </w:p>
      </w:tc>
      <w:tc>
        <w:tcPr>
          <w:tcW w:w="2116" w:type="dxa"/>
          <w:vMerge w:val="restart"/>
          <w:vAlign w:val="center"/>
        </w:tcPr>
        <w:p w14:paraId="62BE667A" w14:textId="77777777" w:rsidR="00A97A46" w:rsidRPr="00A97A46" w:rsidRDefault="00A97A46" w:rsidP="00484C90">
          <w:pPr>
            <w:pStyle w:val="Header"/>
            <w:jc w:val="center"/>
            <w:rPr>
              <w:b/>
              <w:bCs/>
              <w:sz w:val="20"/>
              <w:szCs w:val="20"/>
            </w:rPr>
          </w:pPr>
          <w:r w:rsidRPr="00A97A46">
            <w:rPr>
              <w:b/>
              <w:bCs/>
              <w:sz w:val="20"/>
              <w:szCs w:val="20"/>
            </w:rPr>
            <w:t>Purchase Order</w:t>
          </w:r>
        </w:p>
        <w:p w14:paraId="30155972" w14:textId="237C021A" w:rsidR="00A97A46" w:rsidRPr="00A97A46" w:rsidRDefault="00A97A46" w:rsidP="00484C90">
          <w:pPr>
            <w:pStyle w:val="Header"/>
            <w:jc w:val="center"/>
            <w:rPr>
              <w:sz w:val="18"/>
              <w:szCs w:val="18"/>
            </w:rPr>
          </w:pPr>
          <w:r w:rsidRPr="00A97A46">
            <w:rPr>
              <w:b/>
              <w:bCs/>
              <w:sz w:val="20"/>
              <w:szCs w:val="20"/>
            </w:rPr>
            <w:t>Terms &amp; Conditions</w:t>
          </w:r>
        </w:p>
      </w:tc>
      <w:tc>
        <w:tcPr>
          <w:tcW w:w="2174" w:type="dxa"/>
          <w:vAlign w:val="center"/>
        </w:tcPr>
        <w:p w14:paraId="37C7ED16" w14:textId="77777777" w:rsidR="00A97A46" w:rsidRPr="00DC1E5A" w:rsidRDefault="00A97A46" w:rsidP="00A97A46">
          <w:pPr>
            <w:pStyle w:val="Header"/>
            <w:jc w:val="center"/>
            <w:rPr>
              <w:b/>
              <w:bCs/>
              <w:sz w:val="20"/>
              <w:szCs w:val="20"/>
            </w:rPr>
          </w:pPr>
          <w:r w:rsidRPr="00DC1E5A">
            <w:rPr>
              <w:b/>
              <w:bCs/>
              <w:sz w:val="20"/>
              <w:szCs w:val="20"/>
            </w:rPr>
            <w:t>Document Number</w:t>
          </w:r>
        </w:p>
        <w:p w14:paraId="3E153F62" w14:textId="0BDF4940" w:rsidR="00A97A46" w:rsidRPr="00A97A46" w:rsidRDefault="00A97A46" w:rsidP="00A97A46">
          <w:pPr>
            <w:pStyle w:val="Header"/>
            <w:jc w:val="center"/>
            <w:rPr>
              <w:sz w:val="18"/>
              <w:szCs w:val="18"/>
            </w:rPr>
          </w:pPr>
          <w:r w:rsidRPr="00DC1E5A">
            <w:rPr>
              <w:sz w:val="20"/>
              <w:szCs w:val="20"/>
            </w:rPr>
            <w:t>131-017-00</w:t>
          </w:r>
        </w:p>
      </w:tc>
      <w:tc>
        <w:tcPr>
          <w:tcW w:w="2174" w:type="dxa"/>
          <w:vAlign w:val="center"/>
        </w:tcPr>
        <w:p w14:paraId="0A2976A4" w14:textId="77777777" w:rsidR="00A97A46" w:rsidRPr="00DC1E5A" w:rsidRDefault="00A97A46" w:rsidP="00A97A46">
          <w:pPr>
            <w:pStyle w:val="Header"/>
            <w:jc w:val="center"/>
            <w:rPr>
              <w:b/>
              <w:bCs/>
              <w:sz w:val="20"/>
              <w:szCs w:val="20"/>
            </w:rPr>
          </w:pPr>
          <w:r w:rsidRPr="00DC1E5A">
            <w:rPr>
              <w:b/>
              <w:bCs/>
              <w:sz w:val="20"/>
              <w:szCs w:val="20"/>
            </w:rPr>
            <w:t>Revision</w:t>
          </w:r>
        </w:p>
        <w:p w14:paraId="502D6BB1" w14:textId="4D19EFEF" w:rsidR="00A97A46" w:rsidRPr="00A97A46" w:rsidRDefault="00356ECE" w:rsidP="00A97A46">
          <w:pPr>
            <w:pStyle w:val="Header"/>
            <w:jc w:val="center"/>
            <w:rPr>
              <w:sz w:val="18"/>
              <w:szCs w:val="18"/>
            </w:rPr>
          </w:pPr>
          <w:r>
            <w:rPr>
              <w:sz w:val="18"/>
              <w:szCs w:val="18"/>
            </w:rPr>
            <w:t>20</w:t>
          </w:r>
        </w:p>
      </w:tc>
    </w:tr>
    <w:tr w:rsidR="00A97A46" w14:paraId="15336C9E" w14:textId="77777777" w:rsidTr="00DC1E5A">
      <w:trPr>
        <w:trHeight w:val="621"/>
      </w:trPr>
      <w:tc>
        <w:tcPr>
          <w:tcW w:w="2886" w:type="dxa"/>
          <w:vMerge/>
        </w:tcPr>
        <w:p w14:paraId="5B4AA5A4" w14:textId="77777777" w:rsidR="00A97A46" w:rsidRDefault="00A97A46">
          <w:pPr>
            <w:pStyle w:val="Header"/>
          </w:pPr>
        </w:p>
      </w:tc>
      <w:tc>
        <w:tcPr>
          <w:tcW w:w="2116" w:type="dxa"/>
          <w:vMerge/>
        </w:tcPr>
        <w:p w14:paraId="59C16A8E" w14:textId="77777777" w:rsidR="00A97A46" w:rsidRPr="00A97A46" w:rsidRDefault="00A97A46">
          <w:pPr>
            <w:pStyle w:val="Header"/>
            <w:rPr>
              <w:sz w:val="18"/>
              <w:szCs w:val="18"/>
            </w:rPr>
          </w:pPr>
        </w:p>
      </w:tc>
      <w:tc>
        <w:tcPr>
          <w:tcW w:w="2174" w:type="dxa"/>
          <w:vAlign w:val="center"/>
        </w:tcPr>
        <w:p w14:paraId="194C3596" w14:textId="77777777" w:rsidR="00A97A46" w:rsidRPr="00DC1E5A" w:rsidRDefault="00A97A46" w:rsidP="00A97A46">
          <w:pPr>
            <w:pStyle w:val="Header"/>
            <w:jc w:val="center"/>
            <w:rPr>
              <w:b/>
              <w:bCs/>
              <w:sz w:val="20"/>
              <w:szCs w:val="20"/>
            </w:rPr>
          </w:pPr>
          <w:r w:rsidRPr="00DC1E5A">
            <w:rPr>
              <w:b/>
              <w:bCs/>
              <w:sz w:val="20"/>
              <w:szCs w:val="20"/>
            </w:rPr>
            <w:t>Date Effective</w:t>
          </w:r>
        </w:p>
        <w:p w14:paraId="6C21AB97" w14:textId="24369D94" w:rsidR="00A97A46" w:rsidRPr="00A97A46" w:rsidRDefault="00356ECE" w:rsidP="00A97A46">
          <w:pPr>
            <w:pStyle w:val="Header"/>
            <w:jc w:val="center"/>
            <w:rPr>
              <w:sz w:val="18"/>
              <w:szCs w:val="18"/>
            </w:rPr>
          </w:pPr>
          <w:r>
            <w:rPr>
              <w:sz w:val="20"/>
              <w:szCs w:val="20"/>
            </w:rPr>
            <w:t>7</w:t>
          </w:r>
          <w:r w:rsidR="00A97A46" w:rsidRPr="00DC1E5A">
            <w:rPr>
              <w:sz w:val="20"/>
              <w:szCs w:val="20"/>
            </w:rPr>
            <w:t>/</w:t>
          </w:r>
          <w:r>
            <w:rPr>
              <w:sz w:val="20"/>
              <w:szCs w:val="20"/>
            </w:rPr>
            <w:t>17</w:t>
          </w:r>
          <w:r w:rsidR="00A97A46" w:rsidRPr="00DC1E5A">
            <w:rPr>
              <w:sz w:val="20"/>
              <w:szCs w:val="20"/>
            </w:rPr>
            <w:t>/202</w:t>
          </w:r>
          <w:r w:rsidR="006D4781">
            <w:rPr>
              <w:sz w:val="20"/>
              <w:szCs w:val="20"/>
            </w:rPr>
            <w:t>6</w:t>
          </w:r>
        </w:p>
      </w:tc>
      <w:tc>
        <w:tcPr>
          <w:tcW w:w="2174" w:type="dxa"/>
          <w:vAlign w:val="center"/>
        </w:tcPr>
        <w:p w14:paraId="62C0B02C" w14:textId="29209799" w:rsidR="00A97A46" w:rsidRPr="00A97A46" w:rsidRDefault="00A97A46" w:rsidP="003675C9">
          <w:pPr>
            <w:pStyle w:val="Header"/>
            <w:jc w:val="center"/>
            <w:rPr>
              <w:sz w:val="18"/>
              <w:szCs w:val="18"/>
            </w:rPr>
          </w:pPr>
          <w:r w:rsidRPr="00A04FC4">
            <w:rPr>
              <w:b/>
              <w:bCs/>
              <w:sz w:val="22"/>
              <w:szCs w:val="22"/>
            </w:rPr>
            <w:t>Page</w:t>
          </w:r>
          <w:r w:rsidR="003675C9" w:rsidRPr="00A04FC4">
            <w:rPr>
              <w:b/>
              <w:bCs/>
              <w:sz w:val="22"/>
              <w:szCs w:val="22"/>
            </w:rPr>
            <w:t xml:space="preserve"> </w:t>
          </w:r>
          <w:r w:rsidRPr="00A04FC4">
            <w:rPr>
              <w:sz w:val="22"/>
              <w:szCs w:val="22"/>
            </w:rPr>
            <w:fldChar w:fldCharType="begin"/>
          </w:r>
          <w:r w:rsidRPr="00A04FC4">
            <w:rPr>
              <w:sz w:val="22"/>
              <w:szCs w:val="22"/>
            </w:rPr>
            <w:instrText xml:space="preserve"> PAGE   \* MERGEFORMAT </w:instrText>
          </w:r>
          <w:r w:rsidRPr="00A04FC4">
            <w:rPr>
              <w:sz w:val="22"/>
              <w:szCs w:val="22"/>
            </w:rPr>
            <w:fldChar w:fldCharType="separate"/>
          </w:r>
          <w:r w:rsidRPr="00A04FC4">
            <w:rPr>
              <w:noProof/>
              <w:sz w:val="22"/>
              <w:szCs w:val="22"/>
            </w:rPr>
            <w:t>1</w:t>
          </w:r>
          <w:r w:rsidRPr="00A04FC4">
            <w:rPr>
              <w:noProof/>
              <w:sz w:val="22"/>
              <w:szCs w:val="22"/>
            </w:rPr>
            <w:fldChar w:fldCharType="end"/>
          </w:r>
          <w:r w:rsidRPr="00A04FC4">
            <w:rPr>
              <w:noProof/>
              <w:sz w:val="22"/>
              <w:szCs w:val="22"/>
            </w:rPr>
            <w:t xml:space="preserve"> of </w:t>
          </w:r>
          <w:r w:rsidR="004D58BC">
            <w:rPr>
              <w:noProof/>
              <w:sz w:val="22"/>
              <w:szCs w:val="22"/>
            </w:rPr>
            <w:t>5</w:t>
          </w:r>
        </w:p>
      </w:tc>
    </w:tr>
  </w:tbl>
  <w:p w14:paraId="79BBE606" w14:textId="77777777" w:rsidR="0073700F" w:rsidRDefault="00737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3456"/>
      <w:gridCol w:w="2291"/>
      <w:gridCol w:w="1659"/>
      <w:gridCol w:w="1944"/>
    </w:tblGrid>
    <w:tr w:rsidR="008F2C3A" w14:paraId="576FE8D7" w14:textId="77777777" w:rsidTr="008F2C3A">
      <w:trPr>
        <w:trHeight w:val="596"/>
        <w:jc w:val="center"/>
      </w:trPr>
      <w:tc>
        <w:tcPr>
          <w:tcW w:w="2886" w:type="dxa"/>
          <w:vMerge w:val="restart"/>
          <w:vAlign w:val="center"/>
        </w:tcPr>
        <w:p w14:paraId="49EF894D" w14:textId="3F2DD645" w:rsidR="004E23BB" w:rsidRDefault="008F2C3A" w:rsidP="008F2C3A">
          <w:pPr>
            <w:pStyle w:val="Header"/>
            <w:jc w:val="center"/>
          </w:pPr>
          <w:r>
            <w:rPr>
              <w:noProof/>
            </w:rPr>
            <w:drawing>
              <wp:inline distT="0" distB="0" distL="0" distR="0" wp14:anchorId="5C81F38D" wp14:editId="3247DFA6">
                <wp:extent cx="2050435" cy="488950"/>
                <wp:effectExtent l="0" t="0" r="6985" b="6350"/>
                <wp:docPr id="1017447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47962" name="Picture 1017447962"/>
                        <pic:cNvPicPr/>
                      </pic:nvPicPr>
                      <pic:blipFill>
                        <a:blip r:embed="rId1">
                          <a:extLst>
                            <a:ext uri="{28A0092B-C50C-407E-A947-70E740481C1C}">
                              <a14:useLocalDpi xmlns:a14="http://schemas.microsoft.com/office/drawing/2010/main" val="0"/>
                            </a:ext>
                          </a:extLst>
                        </a:blip>
                        <a:stretch>
                          <a:fillRect/>
                        </a:stretch>
                      </pic:blipFill>
                      <pic:spPr>
                        <a:xfrm>
                          <a:off x="0" y="0"/>
                          <a:ext cx="2075748" cy="494986"/>
                        </a:xfrm>
                        <a:prstGeom prst="rect">
                          <a:avLst/>
                        </a:prstGeom>
                      </pic:spPr>
                    </pic:pic>
                  </a:graphicData>
                </a:graphic>
              </wp:inline>
            </w:drawing>
          </w:r>
        </w:p>
      </w:tc>
      <w:tc>
        <w:tcPr>
          <w:tcW w:w="2509" w:type="dxa"/>
          <w:vMerge w:val="restart"/>
          <w:vAlign w:val="center"/>
        </w:tcPr>
        <w:p w14:paraId="6DB0108B" w14:textId="77777777" w:rsidR="004E23BB" w:rsidRDefault="004E23BB" w:rsidP="00467D6A">
          <w:pPr>
            <w:pStyle w:val="Header"/>
            <w:jc w:val="center"/>
          </w:pPr>
          <w:r>
            <w:t>Purchase Order</w:t>
          </w:r>
        </w:p>
        <w:p w14:paraId="05731D6D" w14:textId="00C5A582" w:rsidR="004E23BB" w:rsidRDefault="004E23BB" w:rsidP="00467D6A">
          <w:pPr>
            <w:pStyle w:val="Header"/>
            <w:jc w:val="center"/>
          </w:pPr>
          <w:r>
            <w:t>Terms &amp; Conditions</w:t>
          </w:r>
        </w:p>
      </w:tc>
      <w:tc>
        <w:tcPr>
          <w:tcW w:w="1794" w:type="dxa"/>
          <w:vAlign w:val="center"/>
        </w:tcPr>
        <w:p w14:paraId="310BB44F" w14:textId="77777777" w:rsidR="004E23BB" w:rsidRPr="004E23BB" w:rsidRDefault="004E23BB" w:rsidP="00467D6A">
          <w:pPr>
            <w:pStyle w:val="Header"/>
            <w:jc w:val="center"/>
            <w:rPr>
              <w:b/>
              <w:bCs/>
              <w:sz w:val="18"/>
              <w:szCs w:val="18"/>
            </w:rPr>
          </w:pPr>
          <w:r w:rsidRPr="004E23BB">
            <w:rPr>
              <w:b/>
              <w:bCs/>
              <w:sz w:val="18"/>
              <w:szCs w:val="18"/>
            </w:rPr>
            <w:t>Document Number</w:t>
          </w:r>
        </w:p>
        <w:p w14:paraId="2C3C98E5" w14:textId="6617971F" w:rsidR="004E23BB" w:rsidRPr="00467D6A" w:rsidRDefault="004E23BB" w:rsidP="00467D6A">
          <w:pPr>
            <w:pStyle w:val="Header"/>
            <w:jc w:val="center"/>
            <w:rPr>
              <w:sz w:val="18"/>
              <w:szCs w:val="18"/>
            </w:rPr>
          </w:pPr>
          <w:r>
            <w:rPr>
              <w:sz w:val="18"/>
              <w:szCs w:val="18"/>
            </w:rPr>
            <w:t>131-017-00</w:t>
          </w:r>
        </w:p>
      </w:tc>
      <w:tc>
        <w:tcPr>
          <w:tcW w:w="2161" w:type="dxa"/>
          <w:vAlign w:val="center"/>
        </w:tcPr>
        <w:p w14:paraId="09D19992" w14:textId="77777777" w:rsidR="004E23BB" w:rsidRPr="00107085" w:rsidRDefault="004E23BB" w:rsidP="00384C75">
          <w:pPr>
            <w:pStyle w:val="Header"/>
            <w:jc w:val="center"/>
            <w:rPr>
              <w:b/>
              <w:bCs/>
              <w:sz w:val="18"/>
              <w:szCs w:val="18"/>
            </w:rPr>
          </w:pPr>
          <w:r w:rsidRPr="00107085">
            <w:rPr>
              <w:b/>
              <w:bCs/>
              <w:sz w:val="18"/>
              <w:szCs w:val="18"/>
            </w:rPr>
            <w:t>Revision</w:t>
          </w:r>
        </w:p>
        <w:p w14:paraId="2BC248CF" w14:textId="1E26E4DA" w:rsidR="004E23BB" w:rsidRPr="00356ECE" w:rsidRDefault="00356ECE" w:rsidP="00384C75">
          <w:pPr>
            <w:pStyle w:val="Header"/>
            <w:jc w:val="center"/>
            <w:rPr>
              <w:sz w:val="20"/>
              <w:szCs w:val="20"/>
            </w:rPr>
          </w:pPr>
          <w:r w:rsidRPr="00356ECE">
            <w:rPr>
              <w:sz w:val="20"/>
              <w:szCs w:val="20"/>
            </w:rPr>
            <w:t>20</w:t>
          </w:r>
        </w:p>
      </w:tc>
    </w:tr>
    <w:tr w:rsidR="008F2C3A" w14:paraId="4B1FBFAE" w14:textId="77777777" w:rsidTr="008F2C3A">
      <w:trPr>
        <w:trHeight w:val="303"/>
        <w:jc w:val="center"/>
      </w:trPr>
      <w:tc>
        <w:tcPr>
          <w:tcW w:w="2886" w:type="dxa"/>
          <w:vMerge/>
          <w:tcBorders>
            <w:bottom w:val="single" w:sz="4" w:space="0" w:color="auto"/>
          </w:tcBorders>
        </w:tcPr>
        <w:p w14:paraId="209BFA75" w14:textId="77777777" w:rsidR="00CA2288" w:rsidRDefault="00CA2288">
          <w:pPr>
            <w:pStyle w:val="Header"/>
          </w:pPr>
        </w:p>
      </w:tc>
      <w:tc>
        <w:tcPr>
          <w:tcW w:w="2509" w:type="dxa"/>
          <w:vMerge/>
          <w:tcBorders>
            <w:bottom w:val="single" w:sz="4" w:space="0" w:color="auto"/>
          </w:tcBorders>
        </w:tcPr>
        <w:p w14:paraId="1AE42DD4" w14:textId="77777777" w:rsidR="00CA2288" w:rsidRDefault="00CA2288">
          <w:pPr>
            <w:pStyle w:val="Header"/>
          </w:pPr>
        </w:p>
      </w:tc>
      <w:tc>
        <w:tcPr>
          <w:tcW w:w="1794" w:type="dxa"/>
          <w:tcBorders>
            <w:bottom w:val="single" w:sz="4" w:space="0" w:color="auto"/>
          </w:tcBorders>
          <w:vAlign w:val="center"/>
        </w:tcPr>
        <w:p w14:paraId="42778F09" w14:textId="77777777" w:rsidR="00CA2288" w:rsidRPr="004E23BB" w:rsidRDefault="00467D6A" w:rsidP="00467D6A">
          <w:pPr>
            <w:pStyle w:val="Header"/>
            <w:jc w:val="center"/>
            <w:rPr>
              <w:b/>
              <w:bCs/>
              <w:sz w:val="18"/>
              <w:szCs w:val="18"/>
            </w:rPr>
          </w:pPr>
          <w:r w:rsidRPr="004E23BB">
            <w:rPr>
              <w:b/>
              <w:bCs/>
              <w:sz w:val="18"/>
              <w:szCs w:val="18"/>
            </w:rPr>
            <w:t>Date Effective</w:t>
          </w:r>
        </w:p>
        <w:p w14:paraId="3EBED0E4" w14:textId="4A977545" w:rsidR="00467D6A" w:rsidRPr="00467D6A" w:rsidRDefault="00356ECE" w:rsidP="00467D6A">
          <w:pPr>
            <w:pStyle w:val="Header"/>
            <w:jc w:val="center"/>
            <w:rPr>
              <w:sz w:val="18"/>
              <w:szCs w:val="18"/>
            </w:rPr>
          </w:pPr>
          <w:r>
            <w:rPr>
              <w:sz w:val="18"/>
              <w:szCs w:val="18"/>
            </w:rPr>
            <w:t>7</w:t>
          </w:r>
          <w:r w:rsidR="00460BCC">
            <w:rPr>
              <w:sz w:val="18"/>
              <w:szCs w:val="18"/>
            </w:rPr>
            <w:t>/1</w:t>
          </w:r>
          <w:r>
            <w:rPr>
              <w:sz w:val="18"/>
              <w:szCs w:val="18"/>
            </w:rPr>
            <w:t>7</w:t>
          </w:r>
          <w:r w:rsidR="004E23BB">
            <w:rPr>
              <w:sz w:val="18"/>
              <w:szCs w:val="18"/>
            </w:rPr>
            <w:t>/202</w:t>
          </w:r>
          <w:r w:rsidR="006D4781">
            <w:rPr>
              <w:sz w:val="18"/>
              <w:szCs w:val="18"/>
            </w:rPr>
            <w:t>6</w:t>
          </w:r>
        </w:p>
      </w:tc>
      <w:tc>
        <w:tcPr>
          <w:tcW w:w="2161" w:type="dxa"/>
          <w:tcBorders>
            <w:bottom w:val="single" w:sz="4" w:space="0" w:color="auto"/>
          </w:tcBorders>
          <w:vAlign w:val="center"/>
        </w:tcPr>
        <w:p w14:paraId="3960A17B" w14:textId="6F24FCF3" w:rsidR="00CA2288" w:rsidRDefault="00384C75" w:rsidP="00384C75">
          <w:pPr>
            <w:pStyle w:val="Header"/>
            <w:jc w:val="center"/>
          </w:pPr>
          <w:r w:rsidRPr="00A04FC4">
            <w:rPr>
              <w:sz w:val="22"/>
              <w:szCs w:val="22"/>
            </w:rPr>
            <w:t xml:space="preserve">Page </w:t>
          </w:r>
          <w:r w:rsidR="00184D6D" w:rsidRPr="00A04FC4">
            <w:rPr>
              <w:sz w:val="22"/>
              <w:szCs w:val="22"/>
            </w:rPr>
            <w:fldChar w:fldCharType="begin"/>
          </w:r>
          <w:r w:rsidR="00184D6D" w:rsidRPr="00A04FC4">
            <w:rPr>
              <w:sz w:val="22"/>
              <w:szCs w:val="22"/>
            </w:rPr>
            <w:instrText xml:space="preserve"> PAGE   \* MERGEFORMAT </w:instrText>
          </w:r>
          <w:r w:rsidR="00184D6D" w:rsidRPr="00A04FC4">
            <w:rPr>
              <w:sz w:val="22"/>
              <w:szCs w:val="22"/>
            </w:rPr>
            <w:fldChar w:fldCharType="separate"/>
          </w:r>
          <w:r w:rsidR="00184D6D" w:rsidRPr="00A04FC4">
            <w:rPr>
              <w:noProof/>
              <w:sz w:val="22"/>
              <w:szCs w:val="22"/>
            </w:rPr>
            <w:t>1</w:t>
          </w:r>
          <w:r w:rsidR="00184D6D" w:rsidRPr="00A04FC4">
            <w:rPr>
              <w:noProof/>
              <w:sz w:val="22"/>
              <w:szCs w:val="22"/>
            </w:rPr>
            <w:fldChar w:fldCharType="end"/>
          </w:r>
          <w:r w:rsidR="00184D6D" w:rsidRPr="00A04FC4">
            <w:rPr>
              <w:noProof/>
              <w:sz w:val="22"/>
              <w:szCs w:val="22"/>
            </w:rPr>
            <w:t xml:space="preserve"> of </w:t>
          </w:r>
          <w:r w:rsidR="004D58BC">
            <w:rPr>
              <w:noProof/>
              <w:sz w:val="22"/>
              <w:szCs w:val="22"/>
            </w:rPr>
            <w:t>5</w:t>
          </w:r>
        </w:p>
      </w:tc>
    </w:tr>
    <w:tr w:rsidR="008F2C3A" w14:paraId="7860B298" w14:textId="77777777" w:rsidTr="008F2C3A">
      <w:trPr>
        <w:jc w:val="center"/>
      </w:trPr>
      <w:tc>
        <w:tcPr>
          <w:tcW w:w="2886" w:type="dxa"/>
          <w:vMerge w:val="restart"/>
          <w:vAlign w:val="center"/>
        </w:tcPr>
        <w:p w14:paraId="38B5A649" w14:textId="271CFD58" w:rsidR="001D3696" w:rsidRDefault="008101D0" w:rsidP="008101D0">
          <w:pPr>
            <w:pStyle w:val="Header"/>
            <w:jc w:val="center"/>
          </w:pPr>
          <w:r>
            <w:t>Document Approved By:</w:t>
          </w:r>
        </w:p>
      </w:tc>
      <w:tc>
        <w:tcPr>
          <w:tcW w:w="2509" w:type="dxa"/>
          <w:vAlign w:val="center"/>
        </w:tcPr>
        <w:p w14:paraId="2BB90B79" w14:textId="0DF294E3" w:rsidR="001D3696" w:rsidRPr="004E23BB" w:rsidRDefault="008101D0" w:rsidP="001238CB">
          <w:pPr>
            <w:pStyle w:val="Header"/>
            <w:jc w:val="center"/>
            <w:rPr>
              <w:b/>
              <w:bCs/>
            </w:rPr>
          </w:pPr>
          <w:r w:rsidRPr="004E23BB">
            <w:rPr>
              <w:b/>
              <w:bCs/>
              <w:sz w:val="18"/>
              <w:szCs w:val="18"/>
            </w:rPr>
            <w:t>Title</w:t>
          </w:r>
        </w:p>
      </w:tc>
      <w:tc>
        <w:tcPr>
          <w:tcW w:w="1794" w:type="dxa"/>
        </w:tcPr>
        <w:p w14:paraId="74F9E956" w14:textId="763AA04D" w:rsidR="001D3696" w:rsidRPr="004E23BB" w:rsidRDefault="001238CB" w:rsidP="00CA2288">
          <w:pPr>
            <w:pStyle w:val="Header"/>
            <w:jc w:val="center"/>
            <w:rPr>
              <w:b/>
              <w:bCs/>
              <w:sz w:val="18"/>
              <w:szCs w:val="18"/>
            </w:rPr>
          </w:pPr>
          <w:r w:rsidRPr="004E23BB">
            <w:rPr>
              <w:b/>
              <w:bCs/>
              <w:sz w:val="18"/>
              <w:szCs w:val="18"/>
            </w:rPr>
            <w:t>Name</w:t>
          </w:r>
        </w:p>
      </w:tc>
      <w:tc>
        <w:tcPr>
          <w:tcW w:w="2161" w:type="dxa"/>
        </w:tcPr>
        <w:p w14:paraId="327973EA" w14:textId="4E109EC5" w:rsidR="001D3696" w:rsidRPr="004E23BB" w:rsidRDefault="00CA2288" w:rsidP="00CA2288">
          <w:pPr>
            <w:pStyle w:val="Header"/>
            <w:jc w:val="center"/>
            <w:rPr>
              <w:b/>
              <w:bCs/>
              <w:sz w:val="18"/>
              <w:szCs w:val="18"/>
            </w:rPr>
          </w:pPr>
          <w:r w:rsidRPr="004E23BB">
            <w:rPr>
              <w:b/>
              <w:bCs/>
              <w:sz w:val="18"/>
              <w:szCs w:val="18"/>
            </w:rPr>
            <w:t>Date Approved</w:t>
          </w:r>
        </w:p>
      </w:tc>
    </w:tr>
    <w:tr w:rsidR="008F2C3A" w14:paraId="1FFE53B5" w14:textId="77777777" w:rsidTr="008F2C3A">
      <w:trPr>
        <w:jc w:val="center"/>
      </w:trPr>
      <w:tc>
        <w:tcPr>
          <w:tcW w:w="2886" w:type="dxa"/>
          <w:vMerge/>
        </w:tcPr>
        <w:p w14:paraId="30B06236" w14:textId="77777777" w:rsidR="001D3696" w:rsidRDefault="001D3696">
          <w:pPr>
            <w:pStyle w:val="Header"/>
          </w:pPr>
        </w:p>
      </w:tc>
      <w:tc>
        <w:tcPr>
          <w:tcW w:w="2509" w:type="dxa"/>
          <w:vAlign w:val="center"/>
        </w:tcPr>
        <w:p w14:paraId="79B48828" w14:textId="00832663" w:rsidR="001D3696" w:rsidRPr="001238CB" w:rsidRDefault="00DB00B1" w:rsidP="001238CB">
          <w:pPr>
            <w:pStyle w:val="Header"/>
            <w:jc w:val="center"/>
            <w:rPr>
              <w:sz w:val="18"/>
              <w:szCs w:val="18"/>
            </w:rPr>
          </w:pPr>
          <w:r>
            <w:rPr>
              <w:sz w:val="18"/>
              <w:szCs w:val="18"/>
            </w:rPr>
            <w:t>Chief Supply Chain</w:t>
          </w:r>
          <w:r w:rsidR="006D4781">
            <w:rPr>
              <w:sz w:val="18"/>
              <w:szCs w:val="18"/>
            </w:rPr>
            <w:t xml:space="preserve"> Officer</w:t>
          </w:r>
        </w:p>
      </w:tc>
      <w:tc>
        <w:tcPr>
          <w:tcW w:w="1794" w:type="dxa"/>
        </w:tcPr>
        <w:p w14:paraId="1DD85EDE" w14:textId="332893A4" w:rsidR="001D3696" w:rsidRPr="00CA2288" w:rsidRDefault="006D4781" w:rsidP="00CA2288">
          <w:pPr>
            <w:pStyle w:val="Header"/>
            <w:jc w:val="center"/>
            <w:rPr>
              <w:sz w:val="18"/>
              <w:szCs w:val="18"/>
            </w:rPr>
          </w:pPr>
          <w:r>
            <w:rPr>
              <w:sz w:val="18"/>
              <w:szCs w:val="18"/>
            </w:rPr>
            <w:t>Mike Kienitz</w:t>
          </w:r>
        </w:p>
      </w:tc>
      <w:tc>
        <w:tcPr>
          <w:tcW w:w="2161" w:type="dxa"/>
        </w:tcPr>
        <w:p w14:paraId="10BC39B3" w14:textId="5CE80658" w:rsidR="001D3696" w:rsidRPr="00CA2288" w:rsidRDefault="00356ECE" w:rsidP="00CA2288">
          <w:pPr>
            <w:pStyle w:val="Header"/>
            <w:jc w:val="center"/>
            <w:rPr>
              <w:sz w:val="18"/>
              <w:szCs w:val="18"/>
            </w:rPr>
          </w:pPr>
          <w:r>
            <w:rPr>
              <w:sz w:val="18"/>
              <w:szCs w:val="18"/>
            </w:rPr>
            <w:t>7</w:t>
          </w:r>
          <w:r w:rsidR="00460BCC">
            <w:rPr>
              <w:sz w:val="18"/>
              <w:szCs w:val="18"/>
            </w:rPr>
            <w:t>/1</w:t>
          </w:r>
          <w:r>
            <w:rPr>
              <w:sz w:val="18"/>
              <w:szCs w:val="18"/>
            </w:rPr>
            <w:t>7</w:t>
          </w:r>
          <w:r w:rsidR="00CA2288" w:rsidRPr="00CA2288">
            <w:rPr>
              <w:sz w:val="18"/>
              <w:szCs w:val="18"/>
            </w:rPr>
            <w:t>/202</w:t>
          </w:r>
          <w:r w:rsidR="006D4781">
            <w:rPr>
              <w:sz w:val="18"/>
              <w:szCs w:val="18"/>
            </w:rPr>
            <w:t>6</w:t>
          </w:r>
        </w:p>
      </w:tc>
    </w:tr>
  </w:tbl>
  <w:p w14:paraId="3BA062E5" w14:textId="77777777" w:rsidR="0073700F" w:rsidRDefault="00737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10C6"/>
    <w:multiLevelType w:val="hybridMultilevel"/>
    <w:tmpl w:val="0EA09718"/>
    <w:lvl w:ilvl="0" w:tplc="BD2A6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C17FF"/>
    <w:multiLevelType w:val="hybridMultilevel"/>
    <w:tmpl w:val="D1BC9A86"/>
    <w:lvl w:ilvl="0" w:tplc="04090019">
      <w:start w:val="1"/>
      <w:numFmt w:val="lowerLetter"/>
      <w:lvlText w:val="%1."/>
      <w:lvlJc w:val="left"/>
      <w:pPr>
        <w:ind w:left="720" w:hanging="360"/>
      </w:pPr>
      <w:rPr>
        <w:rFonts w:hint="default"/>
        <w:b/>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742CC1"/>
    <w:multiLevelType w:val="hybridMultilevel"/>
    <w:tmpl w:val="881C0F14"/>
    <w:lvl w:ilvl="0" w:tplc="BD2A6A64">
      <w:start w:val="1"/>
      <w:numFmt w:val="decimal"/>
      <w:lvlText w:val="%1."/>
      <w:lvlJc w:val="left"/>
      <w:pPr>
        <w:ind w:left="630" w:hanging="360"/>
      </w:pPr>
      <w:rPr>
        <w:rFonts w:hint="default"/>
        <w:b/>
      </w:rPr>
    </w:lvl>
    <w:lvl w:ilvl="1" w:tplc="C30C384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110C3"/>
    <w:multiLevelType w:val="multilevel"/>
    <w:tmpl w:val="82C43A74"/>
    <w:lvl w:ilvl="0">
      <w:start w:val="1"/>
      <w:numFmt w:val="decimal"/>
      <w:pStyle w:val="sfalevel1"/>
      <w:lvlText w:val="%1."/>
      <w:lvlJc w:val="left"/>
      <w:pPr>
        <w:tabs>
          <w:tab w:val="num" w:pos="0"/>
        </w:tabs>
        <w:ind w:left="0" w:firstLine="0"/>
      </w:pPr>
      <w:rPr>
        <w:rFonts w:hint="default"/>
        <w:lang w:val="en-US" w:eastAsia="en-US" w:bidi="ar-SA"/>
      </w:rPr>
    </w:lvl>
    <w:lvl w:ilvl="1">
      <w:start w:val="1"/>
      <w:numFmt w:val="lowerLetter"/>
      <w:pStyle w:val="sfalevel2"/>
      <w:lvlText w:val="(%2)"/>
      <w:lvlJc w:val="left"/>
      <w:pPr>
        <w:tabs>
          <w:tab w:val="num" w:pos="720"/>
        </w:tabs>
        <w:ind w:left="0" w:firstLine="720"/>
      </w:pPr>
      <w:rPr>
        <w:rFonts w:hint="default"/>
        <w:lang w:val="en-US" w:eastAsia="en-US" w:bidi="ar-SA"/>
      </w:rPr>
    </w:lvl>
    <w:lvl w:ilvl="2">
      <w:start w:val="1"/>
      <w:numFmt w:val="lowerRoman"/>
      <w:pStyle w:val="sfalevel3"/>
      <w:lvlText w:val="(%3)"/>
      <w:lvlJc w:val="left"/>
      <w:pPr>
        <w:tabs>
          <w:tab w:val="num" w:pos="1440"/>
        </w:tabs>
        <w:ind w:left="0" w:firstLine="1440"/>
      </w:pPr>
      <w:rPr>
        <w:rFonts w:hint="default"/>
        <w:lang w:val="en-US" w:eastAsia="en-US" w:bidi="ar-SA"/>
      </w:rPr>
    </w:lvl>
    <w:lvl w:ilvl="3">
      <w:start w:val="1"/>
      <w:numFmt w:val="decimal"/>
      <w:lvlText w:val="%1.%2.%3.%4."/>
      <w:lvlJc w:val="left"/>
      <w:pPr>
        <w:tabs>
          <w:tab w:val="num" w:pos="1728"/>
        </w:tabs>
        <w:ind w:left="1728" w:hanging="648"/>
      </w:pPr>
      <w:rPr>
        <w:rFonts w:hint="default"/>
        <w:lang w:val="en-US" w:eastAsia="en-US" w:bidi="ar-SA"/>
      </w:rPr>
    </w:lvl>
    <w:lvl w:ilvl="4">
      <w:start w:val="1"/>
      <w:numFmt w:val="decimal"/>
      <w:lvlText w:val="%1.%2.%3.%4.%5."/>
      <w:lvlJc w:val="left"/>
      <w:pPr>
        <w:tabs>
          <w:tab w:val="num" w:pos="2232"/>
        </w:tabs>
        <w:ind w:left="2232" w:hanging="792"/>
      </w:pPr>
      <w:rPr>
        <w:rFonts w:hint="default"/>
        <w:lang w:val="en-US" w:eastAsia="en-US" w:bidi="ar-SA"/>
      </w:rPr>
    </w:lvl>
    <w:lvl w:ilvl="5">
      <w:start w:val="1"/>
      <w:numFmt w:val="decimal"/>
      <w:lvlText w:val="%1.%2.%3.%4.%5.%6."/>
      <w:lvlJc w:val="left"/>
      <w:pPr>
        <w:tabs>
          <w:tab w:val="num" w:pos="2736"/>
        </w:tabs>
        <w:ind w:left="2736" w:hanging="936"/>
      </w:pPr>
      <w:rPr>
        <w:rFonts w:hint="default"/>
        <w:lang w:val="en-US" w:eastAsia="en-US" w:bidi="ar-SA"/>
      </w:rPr>
    </w:lvl>
    <w:lvl w:ilvl="6">
      <w:start w:val="1"/>
      <w:numFmt w:val="decimal"/>
      <w:lvlText w:val="%1.%2.%3.%4.%5.%6.%7."/>
      <w:lvlJc w:val="left"/>
      <w:pPr>
        <w:tabs>
          <w:tab w:val="num" w:pos="3240"/>
        </w:tabs>
        <w:ind w:left="3240" w:hanging="1080"/>
      </w:pPr>
      <w:rPr>
        <w:rFonts w:hint="default"/>
        <w:lang w:val="en-US" w:eastAsia="en-US" w:bidi="ar-SA"/>
      </w:rPr>
    </w:lvl>
    <w:lvl w:ilvl="7">
      <w:start w:val="1"/>
      <w:numFmt w:val="decimal"/>
      <w:lvlText w:val="%1.%2.%3.%4.%5.%6.%7.%8."/>
      <w:lvlJc w:val="left"/>
      <w:pPr>
        <w:tabs>
          <w:tab w:val="num" w:pos="3744"/>
        </w:tabs>
        <w:ind w:left="3744" w:hanging="1224"/>
      </w:pPr>
      <w:rPr>
        <w:rFonts w:hint="default"/>
        <w:lang w:val="en-US" w:eastAsia="en-US" w:bidi="ar-SA"/>
      </w:rPr>
    </w:lvl>
    <w:lvl w:ilvl="8">
      <w:start w:val="1"/>
      <w:numFmt w:val="decimal"/>
      <w:lvlText w:val="%1.%2.%3.%4.%5.%6.%7.%8.%9."/>
      <w:lvlJc w:val="left"/>
      <w:pPr>
        <w:tabs>
          <w:tab w:val="num" w:pos="4320"/>
        </w:tabs>
        <w:ind w:left="4320" w:hanging="1440"/>
      </w:pPr>
      <w:rPr>
        <w:rFonts w:hint="default"/>
        <w:lang w:val="en-US" w:eastAsia="en-US" w:bidi="ar-SA"/>
      </w:rPr>
    </w:lvl>
  </w:abstractNum>
  <w:abstractNum w:abstractNumId="4" w15:restartNumberingAfterBreak="0">
    <w:nsid w:val="57AC2300"/>
    <w:multiLevelType w:val="hybridMultilevel"/>
    <w:tmpl w:val="ECC6FC00"/>
    <w:lvl w:ilvl="0" w:tplc="B6D8EC34">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9B0724"/>
    <w:multiLevelType w:val="hybridMultilevel"/>
    <w:tmpl w:val="D436B2C4"/>
    <w:lvl w:ilvl="0" w:tplc="B6D8EC34">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5845049">
    <w:abstractNumId w:val="0"/>
  </w:num>
  <w:num w:numId="2" w16cid:durableId="1983925317">
    <w:abstractNumId w:val="2"/>
  </w:num>
  <w:num w:numId="3" w16cid:durableId="275985637">
    <w:abstractNumId w:val="5"/>
  </w:num>
  <w:num w:numId="4" w16cid:durableId="1232496736">
    <w:abstractNumId w:val="1"/>
  </w:num>
  <w:num w:numId="5" w16cid:durableId="1972395023">
    <w:abstractNumId w:val="4"/>
  </w:num>
  <w:num w:numId="6" w16cid:durableId="1348019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C2"/>
    <w:rsid w:val="0000240A"/>
    <w:rsid w:val="00002B20"/>
    <w:rsid w:val="00023AE9"/>
    <w:rsid w:val="0003769B"/>
    <w:rsid w:val="00045EFB"/>
    <w:rsid w:val="0005133D"/>
    <w:rsid w:val="00057F86"/>
    <w:rsid w:val="00064FAF"/>
    <w:rsid w:val="00087F9B"/>
    <w:rsid w:val="000C2CC1"/>
    <w:rsid w:val="000C4E32"/>
    <w:rsid w:val="000D4AD7"/>
    <w:rsid w:val="000D4D39"/>
    <w:rsid w:val="00107085"/>
    <w:rsid w:val="001238CB"/>
    <w:rsid w:val="0015035B"/>
    <w:rsid w:val="00172677"/>
    <w:rsid w:val="00182101"/>
    <w:rsid w:val="00184D6D"/>
    <w:rsid w:val="001A3282"/>
    <w:rsid w:val="001A4CD1"/>
    <w:rsid w:val="001A72CD"/>
    <w:rsid w:val="001C1515"/>
    <w:rsid w:val="001D1769"/>
    <w:rsid w:val="001D3696"/>
    <w:rsid w:val="001F03D0"/>
    <w:rsid w:val="0020699B"/>
    <w:rsid w:val="002138E6"/>
    <w:rsid w:val="00217987"/>
    <w:rsid w:val="002554C0"/>
    <w:rsid w:val="0028524B"/>
    <w:rsid w:val="002A2A6E"/>
    <w:rsid w:val="002B4435"/>
    <w:rsid w:val="002C4043"/>
    <w:rsid w:val="003061CE"/>
    <w:rsid w:val="003318F4"/>
    <w:rsid w:val="003375C2"/>
    <w:rsid w:val="00344796"/>
    <w:rsid w:val="00350768"/>
    <w:rsid w:val="00352361"/>
    <w:rsid w:val="00356ECE"/>
    <w:rsid w:val="003675C9"/>
    <w:rsid w:val="00384C75"/>
    <w:rsid w:val="00385980"/>
    <w:rsid w:val="00385FC7"/>
    <w:rsid w:val="0039629F"/>
    <w:rsid w:val="003A35B9"/>
    <w:rsid w:val="003B7750"/>
    <w:rsid w:val="003C6FD2"/>
    <w:rsid w:val="00406791"/>
    <w:rsid w:val="004067BD"/>
    <w:rsid w:val="0042456A"/>
    <w:rsid w:val="004430E6"/>
    <w:rsid w:val="00460BA9"/>
    <w:rsid w:val="00460BCC"/>
    <w:rsid w:val="00467D6A"/>
    <w:rsid w:val="00471E23"/>
    <w:rsid w:val="00474908"/>
    <w:rsid w:val="00484C90"/>
    <w:rsid w:val="004944AF"/>
    <w:rsid w:val="0049709E"/>
    <w:rsid w:val="004974F1"/>
    <w:rsid w:val="004D1C1C"/>
    <w:rsid w:val="004D26A0"/>
    <w:rsid w:val="004D58BC"/>
    <w:rsid w:val="004E23BB"/>
    <w:rsid w:val="00526CFC"/>
    <w:rsid w:val="00532507"/>
    <w:rsid w:val="0053268B"/>
    <w:rsid w:val="005A6263"/>
    <w:rsid w:val="005F0A9B"/>
    <w:rsid w:val="00636AB2"/>
    <w:rsid w:val="0064550D"/>
    <w:rsid w:val="00656D73"/>
    <w:rsid w:val="00681413"/>
    <w:rsid w:val="00683952"/>
    <w:rsid w:val="006C4896"/>
    <w:rsid w:val="006C4902"/>
    <w:rsid w:val="006D4781"/>
    <w:rsid w:val="006F735F"/>
    <w:rsid w:val="0073700F"/>
    <w:rsid w:val="007536EF"/>
    <w:rsid w:val="007C5160"/>
    <w:rsid w:val="008101D0"/>
    <w:rsid w:val="00853B89"/>
    <w:rsid w:val="00861C49"/>
    <w:rsid w:val="00865B26"/>
    <w:rsid w:val="00874CAB"/>
    <w:rsid w:val="008765E6"/>
    <w:rsid w:val="00893C96"/>
    <w:rsid w:val="00894FA0"/>
    <w:rsid w:val="008B4574"/>
    <w:rsid w:val="008C6929"/>
    <w:rsid w:val="008D0811"/>
    <w:rsid w:val="008D2977"/>
    <w:rsid w:val="008E7F62"/>
    <w:rsid w:val="008F2C3A"/>
    <w:rsid w:val="0091780B"/>
    <w:rsid w:val="00921139"/>
    <w:rsid w:val="009238DB"/>
    <w:rsid w:val="00976261"/>
    <w:rsid w:val="009A1A5E"/>
    <w:rsid w:val="009A6A56"/>
    <w:rsid w:val="009D4C1F"/>
    <w:rsid w:val="009E4DD4"/>
    <w:rsid w:val="00A018DA"/>
    <w:rsid w:val="00A04FC4"/>
    <w:rsid w:val="00A053CA"/>
    <w:rsid w:val="00A17C98"/>
    <w:rsid w:val="00A222FE"/>
    <w:rsid w:val="00A31332"/>
    <w:rsid w:val="00A339E1"/>
    <w:rsid w:val="00A424A2"/>
    <w:rsid w:val="00A44FE1"/>
    <w:rsid w:val="00A4501C"/>
    <w:rsid w:val="00A45E4B"/>
    <w:rsid w:val="00A56C47"/>
    <w:rsid w:val="00A85891"/>
    <w:rsid w:val="00A97A46"/>
    <w:rsid w:val="00AB4DBF"/>
    <w:rsid w:val="00B20D33"/>
    <w:rsid w:val="00B8341D"/>
    <w:rsid w:val="00B91EC7"/>
    <w:rsid w:val="00BE15D6"/>
    <w:rsid w:val="00BF24E0"/>
    <w:rsid w:val="00BF514F"/>
    <w:rsid w:val="00C06624"/>
    <w:rsid w:val="00C249B0"/>
    <w:rsid w:val="00C42307"/>
    <w:rsid w:val="00C75E5C"/>
    <w:rsid w:val="00CA2288"/>
    <w:rsid w:val="00CD41BE"/>
    <w:rsid w:val="00CE1D8A"/>
    <w:rsid w:val="00D80D56"/>
    <w:rsid w:val="00D87833"/>
    <w:rsid w:val="00D939B7"/>
    <w:rsid w:val="00DB00B1"/>
    <w:rsid w:val="00DC1E5A"/>
    <w:rsid w:val="00DD08E9"/>
    <w:rsid w:val="00DD55CC"/>
    <w:rsid w:val="00DE5463"/>
    <w:rsid w:val="00DF1710"/>
    <w:rsid w:val="00DF5EE8"/>
    <w:rsid w:val="00E0555C"/>
    <w:rsid w:val="00E1418C"/>
    <w:rsid w:val="00E24DB2"/>
    <w:rsid w:val="00E7320C"/>
    <w:rsid w:val="00E8033A"/>
    <w:rsid w:val="00E82FCC"/>
    <w:rsid w:val="00E861C6"/>
    <w:rsid w:val="00E95DA6"/>
    <w:rsid w:val="00E97589"/>
    <w:rsid w:val="00EB4F8D"/>
    <w:rsid w:val="00F56CBD"/>
    <w:rsid w:val="00F77355"/>
    <w:rsid w:val="00F97AAE"/>
    <w:rsid w:val="00FA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08691"/>
  <w15:chartTrackingRefBased/>
  <w15:docId w15:val="{CA8AFEB7-1E9A-47F9-80A3-B4E60321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C2"/>
    <w:rPr>
      <w:rFonts w:eastAsiaTheme="majorEastAsia" w:cstheme="majorBidi"/>
      <w:color w:val="272727" w:themeColor="text1" w:themeTint="D8"/>
    </w:rPr>
  </w:style>
  <w:style w:type="paragraph" w:styleId="Title">
    <w:name w:val="Title"/>
    <w:basedOn w:val="Normal"/>
    <w:next w:val="Normal"/>
    <w:link w:val="TitleChar"/>
    <w:uiPriority w:val="10"/>
    <w:qFormat/>
    <w:rsid w:val="00337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C2"/>
    <w:pPr>
      <w:spacing w:before="160"/>
      <w:jc w:val="center"/>
    </w:pPr>
    <w:rPr>
      <w:i/>
      <w:iCs/>
      <w:color w:val="404040" w:themeColor="text1" w:themeTint="BF"/>
    </w:rPr>
  </w:style>
  <w:style w:type="character" w:customStyle="1" w:styleId="QuoteChar">
    <w:name w:val="Quote Char"/>
    <w:basedOn w:val="DefaultParagraphFont"/>
    <w:link w:val="Quote"/>
    <w:uiPriority w:val="29"/>
    <w:rsid w:val="003375C2"/>
    <w:rPr>
      <w:i/>
      <w:iCs/>
      <w:color w:val="404040" w:themeColor="text1" w:themeTint="BF"/>
    </w:rPr>
  </w:style>
  <w:style w:type="paragraph" w:styleId="ListParagraph">
    <w:name w:val="List Paragraph"/>
    <w:basedOn w:val="Normal"/>
    <w:uiPriority w:val="34"/>
    <w:qFormat/>
    <w:rsid w:val="003375C2"/>
    <w:pPr>
      <w:ind w:left="720"/>
      <w:contextualSpacing/>
    </w:pPr>
  </w:style>
  <w:style w:type="character" w:styleId="IntenseEmphasis">
    <w:name w:val="Intense Emphasis"/>
    <w:basedOn w:val="DefaultParagraphFont"/>
    <w:uiPriority w:val="21"/>
    <w:qFormat/>
    <w:rsid w:val="003375C2"/>
    <w:rPr>
      <w:i/>
      <w:iCs/>
      <w:color w:val="0F4761" w:themeColor="accent1" w:themeShade="BF"/>
    </w:rPr>
  </w:style>
  <w:style w:type="paragraph" w:styleId="IntenseQuote">
    <w:name w:val="Intense Quote"/>
    <w:basedOn w:val="Normal"/>
    <w:next w:val="Normal"/>
    <w:link w:val="IntenseQuoteChar"/>
    <w:uiPriority w:val="30"/>
    <w:qFormat/>
    <w:rsid w:val="00337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5C2"/>
    <w:rPr>
      <w:i/>
      <w:iCs/>
      <w:color w:val="0F4761" w:themeColor="accent1" w:themeShade="BF"/>
    </w:rPr>
  </w:style>
  <w:style w:type="character" w:styleId="IntenseReference">
    <w:name w:val="Intense Reference"/>
    <w:basedOn w:val="DefaultParagraphFont"/>
    <w:uiPriority w:val="32"/>
    <w:qFormat/>
    <w:rsid w:val="003375C2"/>
    <w:rPr>
      <w:b/>
      <w:bCs/>
      <w:smallCaps/>
      <w:color w:val="0F4761" w:themeColor="accent1" w:themeShade="BF"/>
      <w:spacing w:val="5"/>
    </w:rPr>
  </w:style>
  <w:style w:type="paragraph" w:styleId="Header">
    <w:name w:val="header"/>
    <w:basedOn w:val="Normal"/>
    <w:link w:val="HeaderChar"/>
    <w:uiPriority w:val="99"/>
    <w:unhideWhenUsed/>
    <w:rsid w:val="00737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00F"/>
  </w:style>
  <w:style w:type="paragraph" w:styleId="Footer">
    <w:name w:val="footer"/>
    <w:basedOn w:val="Normal"/>
    <w:link w:val="FooterChar"/>
    <w:uiPriority w:val="99"/>
    <w:unhideWhenUsed/>
    <w:rsid w:val="00737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00F"/>
  </w:style>
  <w:style w:type="table" w:styleId="TableGrid">
    <w:name w:val="Table Grid"/>
    <w:basedOn w:val="TableNormal"/>
    <w:uiPriority w:val="39"/>
    <w:rsid w:val="0003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4CD1"/>
    <w:pPr>
      <w:spacing w:after="0" w:line="240" w:lineRule="auto"/>
    </w:pPr>
  </w:style>
  <w:style w:type="paragraph" w:customStyle="1" w:styleId="sfalevel1">
    <w:name w:val="sfalevel1"/>
    <w:basedOn w:val="Normal"/>
    <w:next w:val="Normal"/>
    <w:rsid w:val="00E95DA6"/>
    <w:pPr>
      <w:numPr>
        <w:numId w:val="6"/>
      </w:numPr>
      <w:spacing w:before="240" w:after="0" w:line="300" w:lineRule="atLeast"/>
    </w:pPr>
    <w:rPr>
      <w:rFonts w:ascii="Times New Roman" w:eastAsia="Times New Roman" w:hAnsi="Times New Roman" w:cs="Times New Roman"/>
      <w:kern w:val="0"/>
      <w14:ligatures w14:val="none"/>
    </w:rPr>
  </w:style>
  <w:style w:type="paragraph" w:customStyle="1" w:styleId="sfalevel2">
    <w:name w:val="sfalevel2"/>
    <w:basedOn w:val="Normal"/>
    <w:rsid w:val="00E95DA6"/>
    <w:pPr>
      <w:numPr>
        <w:ilvl w:val="1"/>
        <w:numId w:val="6"/>
      </w:numPr>
      <w:spacing w:before="240" w:after="0" w:line="300" w:lineRule="atLeast"/>
    </w:pPr>
    <w:rPr>
      <w:rFonts w:ascii="Times New Roman" w:eastAsia="Times New Roman" w:hAnsi="Times New Roman" w:cs="Times New Roman"/>
      <w:kern w:val="0"/>
      <w14:ligatures w14:val="none"/>
    </w:rPr>
  </w:style>
  <w:style w:type="paragraph" w:customStyle="1" w:styleId="sfalevel3">
    <w:name w:val="sfalevel3"/>
    <w:basedOn w:val="Normal"/>
    <w:rsid w:val="00E95DA6"/>
    <w:pPr>
      <w:numPr>
        <w:ilvl w:val="2"/>
        <w:numId w:val="6"/>
      </w:numPr>
      <w:spacing w:before="240" w:after="0" w:line="300" w:lineRule="atLeast"/>
    </w:pPr>
    <w:rPr>
      <w:rFonts w:ascii="Times New Roman" w:eastAsia="Times New Roman" w:hAnsi="Times New Roman" w:cs="Times New Roman"/>
      <w:kern w:val="0"/>
      <w14:ligatures w14:val="none"/>
    </w:rPr>
  </w:style>
  <w:style w:type="character" w:customStyle="1" w:styleId="Defterm">
    <w:name w:val="Defterm"/>
    <w:rsid w:val="00E861C6"/>
    <w:rPr>
      <w:b/>
      <w:color w:val="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E7E-EE00-408E-9A1B-4EE14DE3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Ryan</dc:creator>
  <cp:keywords/>
  <dc:description/>
  <cp:lastModifiedBy>Alison Stochmal</cp:lastModifiedBy>
  <cp:revision>2</cp:revision>
  <cp:lastPrinted>2025-07-09T14:46:00Z</cp:lastPrinted>
  <dcterms:created xsi:type="dcterms:W3CDTF">2026-07-15T20:02:00Z</dcterms:created>
  <dcterms:modified xsi:type="dcterms:W3CDTF">2026-07-15T20:02:00Z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2026-02-13T19:41:19Z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a93b207c-cc49-4a38-a808-7ac55138443d</vt:lpwstr>
  </property>
  <property fmtid="{D5CDD505-2E9C-101B-9397-08002B2CF9AE}" pid="7" name="MSIP_Label_defa4170-0d19-0005-0004-bc88714345d2_ActionId">
    <vt:lpwstr>050da078-fea0-485e-b312-ac22eb3f9362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